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5B" w:rsidRPr="005F0B86" w:rsidRDefault="00853B5B" w:rsidP="00853B5B">
      <w:pPr>
        <w:widowControl w:val="0"/>
        <w:spacing w:line="0" w:lineRule="atLeast"/>
        <w:jc w:val="both"/>
        <w:rPr>
          <w:b/>
        </w:rPr>
      </w:pPr>
      <w:r w:rsidRPr="005F0B86">
        <w:rPr>
          <w:b/>
        </w:rPr>
        <w:t>HKEx LISTING DECISION</w:t>
      </w:r>
    </w:p>
    <w:p w:rsidR="00853B5B" w:rsidRPr="005F0B86" w:rsidRDefault="00853B5B" w:rsidP="00853B5B">
      <w:pPr>
        <w:widowControl w:val="0"/>
        <w:spacing w:line="0" w:lineRule="atLeast"/>
        <w:jc w:val="both"/>
        <w:rPr>
          <w:b/>
        </w:rPr>
      </w:pPr>
      <w:r w:rsidRPr="00317113">
        <w:rPr>
          <w:b/>
        </w:rPr>
        <w:t>Cite as HKEx-LD</w:t>
      </w:r>
      <w:r>
        <w:rPr>
          <w:b/>
        </w:rPr>
        <w:t xml:space="preserve">75-2 </w:t>
      </w:r>
      <w:r w:rsidRPr="00317113">
        <w:rPr>
          <w:b/>
        </w:rPr>
        <w:t>(</w:t>
      </w:r>
      <w:r>
        <w:rPr>
          <w:b/>
        </w:rPr>
        <w:t xml:space="preserve">October </w:t>
      </w:r>
      <w:r w:rsidRPr="00317113">
        <w:rPr>
          <w:b/>
        </w:rPr>
        <w:t>200</w:t>
      </w:r>
      <w:r>
        <w:rPr>
          <w:b/>
        </w:rPr>
        <w:t>9</w:t>
      </w:r>
      <w:r w:rsidRPr="00317113">
        <w:rPr>
          <w:b/>
        </w:rPr>
        <w:t>)</w:t>
      </w:r>
      <w:r>
        <w:rPr>
          <w:b/>
        </w:rPr>
        <w:t xml:space="preserve"> </w:t>
      </w:r>
    </w:p>
    <w:p w:rsidR="00853B5B" w:rsidRPr="005F0B86" w:rsidRDefault="00853B5B" w:rsidP="00853B5B">
      <w:pPr>
        <w:widowControl w:val="0"/>
        <w:spacing w:line="0" w:lineRule="atLeast"/>
        <w:jc w:val="both"/>
        <w:rPr>
          <w:b/>
        </w:rPr>
      </w:pPr>
    </w:p>
    <w:tbl>
      <w:tblPr>
        <w:tblStyle w:val="TableGrid"/>
        <w:tblW w:w="0" w:type="auto"/>
        <w:tblLook w:val="01E0" w:firstRow="1" w:lastRow="1" w:firstColumn="1" w:lastColumn="1" w:noHBand="0" w:noVBand="0"/>
      </w:tblPr>
      <w:tblGrid>
        <w:gridCol w:w="2088"/>
        <w:gridCol w:w="6608"/>
      </w:tblGrid>
      <w:tr w:rsidR="00853B5B" w:rsidRPr="005F0B86" w:rsidTr="00D87168">
        <w:tc>
          <w:tcPr>
            <w:tcW w:w="8696" w:type="dxa"/>
            <w:gridSpan w:val="2"/>
            <w:tcBorders>
              <w:top w:val="double" w:sz="4" w:space="0" w:color="auto"/>
              <w:left w:val="double" w:sz="4" w:space="0" w:color="auto"/>
              <w:right w:val="double" w:sz="4" w:space="0" w:color="auto"/>
            </w:tcBorders>
            <w:shd w:val="clear" w:color="auto" w:fill="99CCFF"/>
          </w:tcPr>
          <w:p w:rsidR="00853B5B" w:rsidRPr="005F0B86" w:rsidRDefault="00853B5B" w:rsidP="00D87168">
            <w:pPr>
              <w:widowControl w:val="0"/>
              <w:spacing w:line="0" w:lineRule="atLeast"/>
              <w:rPr>
                <w:bCs/>
              </w:rPr>
            </w:pPr>
          </w:p>
          <w:p w:rsidR="00853B5B" w:rsidRPr="005F0B86" w:rsidRDefault="00853B5B" w:rsidP="00D87168">
            <w:pPr>
              <w:widowControl w:val="0"/>
              <w:spacing w:line="0" w:lineRule="atLeast"/>
              <w:jc w:val="center"/>
              <w:rPr>
                <w:b/>
                <w:bCs/>
              </w:rPr>
            </w:pPr>
            <w:r w:rsidRPr="005F0B86">
              <w:rPr>
                <w:b/>
                <w:bCs/>
              </w:rPr>
              <w:t>Summary</w:t>
            </w:r>
          </w:p>
          <w:p w:rsidR="00853B5B" w:rsidRPr="005F0B86" w:rsidRDefault="00853B5B" w:rsidP="00D87168">
            <w:pPr>
              <w:widowControl w:val="0"/>
              <w:spacing w:line="0" w:lineRule="atLeast"/>
              <w:jc w:val="center"/>
            </w:pPr>
          </w:p>
        </w:tc>
      </w:tr>
      <w:tr w:rsidR="00853B5B" w:rsidRPr="005F0B86" w:rsidTr="00D87168">
        <w:tc>
          <w:tcPr>
            <w:tcW w:w="2088" w:type="dxa"/>
            <w:tcBorders>
              <w:top w:val="double" w:sz="4" w:space="0" w:color="auto"/>
              <w:left w:val="double" w:sz="4" w:space="0" w:color="auto"/>
              <w:bottom w:val="double" w:sz="4" w:space="0" w:color="auto"/>
              <w:right w:val="double" w:sz="4" w:space="0" w:color="auto"/>
            </w:tcBorders>
          </w:tcPr>
          <w:p w:rsidR="00853B5B" w:rsidRPr="005F0B86" w:rsidRDefault="00853B5B" w:rsidP="00D87168">
            <w:pPr>
              <w:widowControl w:val="0"/>
              <w:spacing w:line="0" w:lineRule="atLeast"/>
              <w:jc w:val="both"/>
              <w:rPr>
                <w:b/>
              </w:rPr>
            </w:pPr>
            <w:r w:rsidRPr="005F0B86">
              <w:rPr>
                <w:b/>
              </w:rPr>
              <w:t xml:space="preserve">Parties </w:t>
            </w:r>
          </w:p>
        </w:tc>
        <w:tc>
          <w:tcPr>
            <w:tcW w:w="6608" w:type="dxa"/>
            <w:tcBorders>
              <w:top w:val="double" w:sz="4" w:space="0" w:color="auto"/>
              <w:left w:val="double" w:sz="4" w:space="0" w:color="auto"/>
              <w:bottom w:val="double" w:sz="4" w:space="0" w:color="auto"/>
              <w:right w:val="double" w:sz="4" w:space="0" w:color="auto"/>
            </w:tcBorders>
          </w:tcPr>
          <w:p w:rsidR="00853B5B" w:rsidRDefault="00853B5B" w:rsidP="00D87168">
            <w:pPr>
              <w:widowControl w:val="0"/>
              <w:tabs>
                <w:tab w:val="left" w:pos="5397"/>
              </w:tabs>
              <w:spacing w:line="0" w:lineRule="atLeast"/>
              <w:jc w:val="both"/>
            </w:pPr>
            <w:r>
              <w:t>Company A – a Main Board listed company</w:t>
            </w:r>
            <w:r w:rsidRPr="00FC112B">
              <w:t xml:space="preserve"> </w:t>
            </w:r>
          </w:p>
          <w:p w:rsidR="00853B5B" w:rsidRDefault="00853B5B" w:rsidP="00D87168">
            <w:pPr>
              <w:widowControl w:val="0"/>
              <w:tabs>
                <w:tab w:val="left" w:pos="5397"/>
              </w:tabs>
              <w:spacing w:line="0" w:lineRule="atLeast"/>
              <w:jc w:val="both"/>
            </w:pPr>
          </w:p>
          <w:p w:rsidR="00853B5B" w:rsidRDefault="00853B5B" w:rsidP="00D87168">
            <w:pPr>
              <w:widowControl w:val="0"/>
              <w:tabs>
                <w:tab w:val="left" w:pos="5397"/>
              </w:tabs>
              <w:spacing w:line="0" w:lineRule="atLeast"/>
              <w:jc w:val="both"/>
            </w:pPr>
            <w:r w:rsidRPr="00A61F53">
              <w:t xml:space="preserve">The Target </w:t>
            </w:r>
            <w:r>
              <w:t>–</w:t>
            </w:r>
            <w:r w:rsidRPr="00A61F53">
              <w:t xml:space="preserve"> the company to be acquired by Company A under the Acquisition </w:t>
            </w:r>
          </w:p>
          <w:p w:rsidR="00853B5B" w:rsidRDefault="00853B5B" w:rsidP="00D87168">
            <w:pPr>
              <w:widowControl w:val="0"/>
              <w:tabs>
                <w:tab w:val="left" w:pos="5397"/>
              </w:tabs>
              <w:spacing w:line="0" w:lineRule="atLeast"/>
              <w:jc w:val="both"/>
            </w:pPr>
          </w:p>
          <w:p w:rsidR="00853B5B" w:rsidRDefault="00853B5B" w:rsidP="00D87168">
            <w:pPr>
              <w:widowControl w:val="0"/>
              <w:tabs>
                <w:tab w:val="left" w:pos="5397"/>
              </w:tabs>
              <w:spacing w:line="0" w:lineRule="atLeast"/>
              <w:jc w:val="both"/>
            </w:pPr>
            <w:r>
              <w:t>The Municipal Government – a municipal government in the PRC</w:t>
            </w:r>
          </w:p>
          <w:p w:rsidR="00853B5B" w:rsidRDefault="00853B5B" w:rsidP="00D87168">
            <w:pPr>
              <w:widowControl w:val="0"/>
              <w:tabs>
                <w:tab w:val="left" w:pos="5397"/>
              </w:tabs>
              <w:spacing w:line="0" w:lineRule="atLeast"/>
              <w:jc w:val="both"/>
            </w:pPr>
          </w:p>
          <w:p w:rsidR="00853B5B" w:rsidRDefault="00853B5B" w:rsidP="00D87168">
            <w:pPr>
              <w:widowControl w:val="0"/>
              <w:tabs>
                <w:tab w:val="left" w:pos="5397"/>
              </w:tabs>
              <w:spacing w:line="0" w:lineRule="atLeast"/>
              <w:jc w:val="both"/>
            </w:pPr>
            <w:r>
              <w:t xml:space="preserve">Entity X and Entity Y – each a </w:t>
            </w:r>
            <w:r w:rsidRPr="00683193">
              <w:t>department directly</w:t>
            </w:r>
            <w:r>
              <w:t xml:space="preserve"> under the supervision of the Municipal Government</w:t>
            </w:r>
          </w:p>
          <w:p w:rsidR="00853B5B" w:rsidRDefault="00853B5B" w:rsidP="00D87168">
            <w:pPr>
              <w:widowControl w:val="0"/>
              <w:tabs>
                <w:tab w:val="left" w:pos="5397"/>
              </w:tabs>
              <w:spacing w:line="0" w:lineRule="atLeast"/>
              <w:jc w:val="both"/>
            </w:pPr>
          </w:p>
          <w:p w:rsidR="00853B5B" w:rsidRDefault="00853B5B" w:rsidP="00D87168">
            <w:pPr>
              <w:widowControl w:val="0"/>
              <w:tabs>
                <w:tab w:val="left" w:pos="5397"/>
              </w:tabs>
              <w:spacing w:line="0" w:lineRule="atLeast"/>
              <w:jc w:val="both"/>
            </w:pPr>
            <w:r>
              <w:t>The Vendor – the party selling its interest in the Target to Company A.  It was wholly owned by Entity X</w:t>
            </w:r>
          </w:p>
          <w:p w:rsidR="00853B5B" w:rsidRDefault="00853B5B" w:rsidP="00D87168">
            <w:pPr>
              <w:widowControl w:val="0"/>
              <w:tabs>
                <w:tab w:val="left" w:pos="5397"/>
              </w:tabs>
              <w:spacing w:line="0" w:lineRule="atLeast"/>
              <w:jc w:val="both"/>
            </w:pPr>
          </w:p>
          <w:p w:rsidR="00853B5B" w:rsidRDefault="00853B5B" w:rsidP="00D87168">
            <w:pPr>
              <w:widowControl w:val="0"/>
              <w:tabs>
                <w:tab w:val="left" w:pos="5397"/>
              </w:tabs>
              <w:spacing w:line="0" w:lineRule="atLeast"/>
              <w:jc w:val="both"/>
            </w:pPr>
            <w:r>
              <w:t>Holding Company – Company A’s ultimate holding company before the Acquisition.   It was wholly owned by Entity Y</w:t>
            </w:r>
          </w:p>
          <w:p w:rsidR="00853B5B" w:rsidRPr="005F0B86" w:rsidRDefault="00853B5B" w:rsidP="00D87168">
            <w:pPr>
              <w:widowControl w:val="0"/>
              <w:tabs>
                <w:tab w:val="left" w:pos="5397"/>
              </w:tabs>
              <w:spacing w:line="0" w:lineRule="atLeast"/>
              <w:jc w:val="both"/>
            </w:pPr>
          </w:p>
        </w:tc>
      </w:tr>
      <w:tr w:rsidR="00853B5B" w:rsidRPr="005F0B86" w:rsidTr="00D87168">
        <w:tc>
          <w:tcPr>
            <w:tcW w:w="2088" w:type="dxa"/>
            <w:tcBorders>
              <w:top w:val="double" w:sz="4" w:space="0" w:color="auto"/>
              <w:left w:val="double" w:sz="4" w:space="0" w:color="auto"/>
              <w:bottom w:val="double" w:sz="4" w:space="0" w:color="auto"/>
              <w:right w:val="double" w:sz="4" w:space="0" w:color="auto"/>
            </w:tcBorders>
          </w:tcPr>
          <w:p w:rsidR="00853B5B" w:rsidRPr="005F0B86" w:rsidRDefault="00853B5B" w:rsidP="00D87168">
            <w:pPr>
              <w:widowControl w:val="0"/>
              <w:spacing w:line="0" w:lineRule="atLeast"/>
              <w:jc w:val="both"/>
              <w:rPr>
                <w:b/>
              </w:rPr>
            </w:pPr>
            <w:r w:rsidRPr="005F0B86">
              <w:rPr>
                <w:b/>
              </w:rPr>
              <w:t>Subject</w:t>
            </w:r>
          </w:p>
        </w:tc>
        <w:tc>
          <w:tcPr>
            <w:tcW w:w="6608" w:type="dxa"/>
            <w:tcBorders>
              <w:top w:val="double" w:sz="4" w:space="0" w:color="auto"/>
              <w:left w:val="double" w:sz="4" w:space="0" w:color="auto"/>
              <w:bottom w:val="double" w:sz="4" w:space="0" w:color="auto"/>
              <w:right w:val="double" w:sz="4" w:space="0" w:color="auto"/>
            </w:tcBorders>
          </w:tcPr>
          <w:p w:rsidR="00853B5B" w:rsidRPr="00D00331" w:rsidRDefault="00853B5B" w:rsidP="00D87168">
            <w:pPr>
              <w:widowControl w:val="0"/>
              <w:snapToGrid w:val="0"/>
              <w:jc w:val="both"/>
              <w:rPr>
                <w:color w:val="000000"/>
              </w:rPr>
            </w:pPr>
            <w:r w:rsidRPr="00D00331">
              <w:rPr>
                <w:color w:val="000000"/>
              </w:rPr>
              <w:t xml:space="preserve">Whether the </w:t>
            </w:r>
            <w:r>
              <w:rPr>
                <w:color w:val="000000"/>
              </w:rPr>
              <w:t>proposed acquisition of the Target by Company A constituted a reverse takeover</w:t>
            </w:r>
          </w:p>
          <w:p w:rsidR="00853B5B" w:rsidRPr="005F0B86" w:rsidRDefault="00853B5B" w:rsidP="00D87168">
            <w:pPr>
              <w:widowControl w:val="0"/>
              <w:spacing w:line="0" w:lineRule="atLeast"/>
              <w:jc w:val="both"/>
            </w:pPr>
          </w:p>
        </w:tc>
      </w:tr>
      <w:tr w:rsidR="00853B5B" w:rsidRPr="005F0B86" w:rsidTr="00D87168">
        <w:trPr>
          <w:trHeight w:val="492"/>
        </w:trPr>
        <w:tc>
          <w:tcPr>
            <w:tcW w:w="2088" w:type="dxa"/>
            <w:tcBorders>
              <w:top w:val="double" w:sz="4" w:space="0" w:color="auto"/>
              <w:left w:val="double" w:sz="4" w:space="0" w:color="auto"/>
              <w:bottom w:val="double" w:sz="4" w:space="0" w:color="auto"/>
              <w:right w:val="double" w:sz="4" w:space="0" w:color="auto"/>
            </w:tcBorders>
          </w:tcPr>
          <w:p w:rsidR="00853B5B" w:rsidRPr="005F0B86" w:rsidRDefault="00853B5B" w:rsidP="00D87168">
            <w:pPr>
              <w:widowControl w:val="0"/>
              <w:spacing w:line="0" w:lineRule="atLeast"/>
              <w:jc w:val="both"/>
              <w:rPr>
                <w:b/>
              </w:rPr>
            </w:pPr>
            <w:r w:rsidRPr="005F0B86">
              <w:rPr>
                <w:b/>
              </w:rPr>
              <w:t>Listing Rules</w:t>
            </w:r>
          </w:p>
        </w:tc>
        <w:tc>
          <w:tcPr>
            <w:tcW w:w="6608" w:type="dxa"/>
            <w:tcBorders>
              <w:top w:val="double" w:sz="4" w:space="0" w:color="auto"/>
              <w:left w:val="double" w:sz="4" w:space="0" w:color="auto"/>
              <w:bottom w:val="double" w:sz="4" w:space="0" w:color="auto"/>
              <w:right w:val="double" w:sz="4" w:space="0" w:color="auto"/>
            </w:tcBorders>
          </w:tcPr>
          <w:p w:rsidR="00853B5B" w:rsidRPr="005F0B86" w:rsidRDefault="00853B5B" w:rsidP="00D87168">
            <w:pPr>
              <w:widowControl w:val="0"/>
              <w:spacing w:line="0" w:lineRule="atLeast"/>
            </w:pPr>
            <w:r>
              <w:t>Main Board Listing Rule 14.06(6)</w:t>
            </w:r>
          </w:p>
        </w:tc>
      </w:tr>
      <w:tr w:rsidR="00853B5B" w:rsidRPr="005F0B86" w:rsidTr="00D87168">
        <w:tc>
          <w:tcPr>
            <w:tcW w:w="2088" w:type="dxa"/>
            <w:tcBorders>
              <w:top w:val="double" w:sz="4" w:space="0" w:color="auto"/>
              <w:left w:val="double" w:sz="4" w:space="0" w:color="auto"/>
              <w:bottom w:val="double" w:sz="4" w:space="0" w:color="auto"/>
              <w:right w:val="double" w:sz="4" w:space="0" w:color="auto"/>
            </w:tcBorders>
          </w:tcPr>
          <w:p w:rsidR="00853B5B" w:rsidRPr="005F0B86" w:rsidRDefault="00853B5B" w:rsidP="00D87168">
            <w:pPr>
              <w:widowControl w:val="0"/>
              <w:spacing w:line="0" w:lineRule="atLeast"/>
              <w:jc w:val="both"/>
              <w:rPr>
                <w:b/>
              </w:rPr>
            </w:pPr>
            <w:r w:rsidRPr="005F0B86">
              <w:rPr>
                <w:b/>
              </w:rPr>
              <w:t>Decision</w:t>
            </w:r>
          </w:p>
          <w:p w:rsidR="00853B5B" w:rsidRPr="005F0B86" w:rsidRDefault="00853B5B" w:rsidP="00D87168">
            <w:pPr>
              <w:widowControl w:val="0"/>
              <w:spacing w:line="0" w:lineRule="atLeast"/>
              <w:jc w:val="both"/>
              <w:rPr>
                <w:b/>
              </w:rPr>
            </w:pPr>
          </w:p>
        </w:tc>
        <w:tc>
          <w:tcPr>
            <w:tcW w:w="6608" w:type="dxa"/>
            <w:tcBorders>
              <w:top w:val="double" w:sz="4" w:space="0" w:color="auto"/>
              <w:left w:val="double" w:sz="4" w:space="0" w:color="auto"/>
              <w:bottom w:val="double" w:sz="4" w:space="0" w:color="auto"/>
              <w:right w:val="double" w:sz="4" w:space="0" w:color="auto"/>
            </w:tcBorders>
            <w:shd w:val="clear" w:color="auto" w:fill="auto"/>
          </w:tcPr>
          <w:p w:rsidR="00853B5B" w:rsidRDefault="00853B5B" w:rsidP="00D87168">
            <w:pPr>
              <w:tabs>
                <w:tab w:val="left" w:pos="540"/>
              </w:tabs>
              <w:jc w:val="both"/>
            </w:pPr>
            <w:r>
              <w:t xml:space="preserve">The Acquisition was not regarded as a </w:t>
            </w:r>
            <w:r>
              <w:rPr>
                <w:color w:val="000000"/>
                <w:szCs w:val="23"/>
              </w:rPr>
              <w:t xml:space="preserve">reverse takeover of Company A  </w:t>
            </w:r>
            <w:r w:rsidRPr="00CD7FD7">
              <w:t xml:space="preserve">   </w:t>
            </w:r>
          </w:p>
          <w:p w:rsidR="00853B5B" w:rsidRPr="005F0B86" w:rsidRDefault="00853B5B" w:rsidP="00D87168">
            <w:pPr>
              <w:spacing w:line="240" w:lineRule="atLeast"/>
              <w:jc w:val="both"/>
            </w:pPr>
          </w:p>
        </w:tc>
      </w:tr>
    </w:tbl>
    <w:p w:rsidR="00853B5B" w:rsidRDefault="00853B5B" w:rsidP="00853B5B">
      <w:pPr>
        <w:widowControl w:val="0"/>
        <w:jc w:val="both"/>
        <w:rPr>
          <w:b/>
          <w:bCs/>
        </w:rPr>
      </w:pPr>
    </w:p>
    <w:p w:rsidR="00853B5B" w:rsidRDefault="00853B5B" w:rsidP="00853B5B">
      <w:pPr>
        <w:widowControl w:val="0"/>
        <w:jc w:val="both"/>
        <w:rPr>
          <w:b/>
          <w:bCs/>
        </w:rPr>
      </w:pPr>
    </w:p>
    <w:p w:rsidR="00853B5B" w:rsidRPr="005F0B86" w:rsidRDefault="00853B5B" w:rsidP="00853B5B">
      <w:pPr>
        <w:widowControl w:val="0"/>
        <w:jc w:val="both"/>
        <w:rPr>
          <w:b/>
          <w:bCs/>
        </w:rPr>
      </w:pPr>
      <w:r w:rsidRPr="005F0B86">
        <w:rPr>
          <w:b/>
          <w:bCs/>
        </w:rPr>
        <w:t>SUMMARY OF FACTS</w:t>
      </w:r>
    </w:p>
    <w:p w:rsidR="00853B5B" w:rsidRDefault="00853B5B" w:rsidP="00853B5B">
      <w:pPr>
        <w:spacing w:line="240" w:lineRule="atLeast"/>
        <w:jc w:val="both"/>
        <w:rPr>
          <w:color w:val="000000"/>
        </w:rPr>
      </w:pPr>
    </w:p>
    <w:p w:rsidR="00853B5B" w:rsidRPr="0098201C" w:rsidRDefault="00853B5B" w:rsidP="00853B5B">
      <w:pPr>
        <w:numPr>
          <w:ilvl w:val="0"/>
          <w:numId w:val="1"/>
        </w:numPr>
        <w:tabs>
          <w:tab w:val="clear" w:pos="360"/>
          <w:tab w:val="num" w:pos="720"/>
        </w:tabs>
        <w:spacing w:line="240" w:lineRule="atLeast"/>
        <w:ind w:left="720" w:hanging="720"/>
        <w:jc w:val="both"/>
        <w:rPr>
          <w:color w:val="000000"/>
        </w:rPr>
      </w:pPr>
      <w:r w:rsidRPr="0098201C">
        <w:rPr>
          <w:color w:val="000000"/>
        </w:rPr>
        <w:t xml:space="preserve">Company A proposed to acquire from the Vendor its interest in the Target </w:t>
      </w:r>
      <w:r w:rsidRPr="0098201C">
        <w:t>(the</w:t>
      </w:r>
      <w:r w:rsidRPr="0098201C">
        <w:rPr>
          <w:b/>
        </w:rPr>
        <w:t xml:space="preserve"> Acquisition</w:t>
      </w:r>
      <w:r w:rsidRPr="0098201C">
        <w:t>)</w:t>
      </w:r>
      <w:r w:rsidRPr="0098201C">
        <w:rPr>
          <w:color w:val="000000"/>
        </w:rPr>
        <w:t xml:space="preserve">.  </w:t>
      </w:r>
      <w:r>
        <w:rPr>
          <w:color w:val="000000"/>
        </w:rPr>
        <w:t xml:space="preserve"> Company A and the Target had the same line of business.</w:t>
      </w:r>
    </w:p>
    <w:p w:rsidR="00853B5B" w:rsidRDefault="00853B5B" w:rsidP="00853B5B">
      <w:pPr>
        <w:spacing w:line="240" w:lineRule="atLeast"/>
        <w:jc w:val="both"/>
        <w:rPr>
          <w:color w:val="000000"/>
        </w:rPr>
      </w:pPr>
    </w:p>
    <w:p w:rsidR="00853B5B" w:rsidRDefault="00853B5B" w:rsidP="00853B5B">
      <w:pPr>
        <w:numPr>
          <w:ilvl w:val="0"/>
          <w:numId w:val="1"/>
        </w:numPr>
        <w:tabs>
          <w:tab w:val="clear" w:pos="360"/>
          <w:tab w:val="num" w:pos="720"/>
        </w:tabs>
        <w:spacing w:line="240" w:lineRule="atLeast"/>
        <w:ind w:left="720" w:hanging="720"/>
        <w:jc w:val="both"/>
        <w:rPr>
          <w:color w:val="000000"/>
        </w:rPr>
      </w:pPr>
      <w:r>
        <w:rPr>
          <w:color w:val="000000"/>
        </w:rPr>
        <w:t>Since Company A would settle part of the consideration by issuing new shares to the Vendor</w:t>
      </w:r>
      <w:r w:rsidRPr="00D777BA">
        <w:rPr>
          <w:color w:val="000000"/>
        </w:rPr>
        <w:t xml:space="preserve">, </w:t>
      </w:r>
      <w:r>
        <w:rPr>
          <w:color w:val="000000"/>
        </w:rPr>
        <w:t xml:space="preserve">the Acquisition would result in a change in its shareholding structure:  </w:t>
      </w:r>
    </w:p>
    <w:p w:rsidR="00853B5B" w:rsidRDefault="00853B5B" w:rsidP="00853B5B">
      <w:pPr>
        <w:spacing w:line="240" w:lineRule="atLeast"/>
        <w:jc w:val="both"/>
        <w:rPr>
          <w:color w:val="000000"/>
        </w:rPr>
      </w:pPr>
    </w:p>
    <w:p w:rsidR="00853B5B" w:rsidRDefault="00853B5B" w:rsidP="00853B5B">
      <w:pPr>
        <w:spacing w:line="240" w:lineRule="atLeast"/>
        <w:ind w:left="1080" w:hanging="360"/>
        <w:jc w:val="both"/>
      </w:pPr>
      <w:r>
        <w:rPr>
          <w:color w:val="000000"/>
        </w:rPr>
        <w:t>-</w:t>
      </w:r>
      <w:r>
        <w:rPr>
          <w:color w:val="000000"/>
        </w:rPr>
        <w:tab/>
      </w:r>
      <w:r>
        <w:t xml:space="preserve">The Holding Company’s </w:t>
      </w:r>
      <w:r>
        <w:rPr>
          <w:color w:val="000000"/>
        </w:rPr>
        <w:t xml:space="preserve">shareholding in Company A would be diluted to about 20% of the enlarged issued share capital.   </w:t>
      </w:r>
      <w:r>
        <w:t xml:space="preserve">   </w:t>
      </w:r>
    </w:p>
    <w:p w:rsidR="00853B5B" w:rsidRPr="004E5606" w:rsidRDefault="00853B5B" w:rsidP="00853B5B">
      <w:pPr>
        <w:spacing w:line="240" w:lineRule="atLeast"/>
        <w:ind w:left="1080" w:hanging="360"/>
        <w:jc w:val="both"/>
      </w:pPr>
    </w:p>
    <w:p w:rsidR="00853B5B" w:rsidRDefault="00853B5B" w:rsidP="00853B5B">
      <w:pPr>
        <w:spacing w:line="240" w:lineRule="atLeast"/>
        <w:ind w:left="1080" w:hanging="360"/>
        <w:jc w:val="both"/>
      </w:pPr>
      <w:r>
        <w:rPr>
          <w:color w:val="000000"/>
        </w:rPr>
        <w:t>-</w:t>
      </w:r>
      <w:r>
        <w:rPr>
          <w:color w:val="000000"/>
        </w:rPr>
        <w:tab/>
      </w:r>
      <w:r>
        <w:t xml:space="preserve">The Vendor </w:t>
      </w:r>
      <w:r w:rsidRPr="00D777BA">
        <w:rPr>
          <w:color w:val="000000"/>
        </w:rPr>
        <w:t xml:space="preserve">would hold </w:t>
      </w:r>
      <w:r>
        <w:rPr>
          <w:color w:val="000000"/>
        </w:rPr>
        <w:t>more than 50</w:t>
      </w:r>
      <w:r w:rsidRPr="00D777BA">
        <w:rPr>
          <w:color w:val="000000"/>
        </w:rPr>
        <w:t xml:space="preserve">% of Company A’s </w:t>
      </w:r>
      <w:r>
        <w:rPr>
          <w:color w:val="000000"/>
        </w:rPr>
        <w:t xml:space="preserve">enlarged </w:t>
      </w:r>
      <w:r w:rsidRPr="00D777BA">
        <w:rPr>
          <w:color w:val="000000"/>
        </w:rPr>
        <w:t>issued share capital</w:t>
      </w:r>
      <w:r>
        <w:rPr>
          <w:color w:val="000000"/>
        </w:rPr>
        <w:t>.</w:t>
      </w:r>
      <w:r>
        <w:t xml:space="preserve">  Under Note 6(a) to Rule 26.1 of the Takeovers Code, the </w:t>
      </w:r>
      <w:r>
        <w:lastRenderedPageBreak/>
        <w:t>Vendor was granted a waiver from its obligation to make a general offer for Company A as a result of the Acquisition.</w:t>
      </w:r>
    </w:p>
    <w:p w:rsidR="00853B5B" w:rsidRDefault="00853B5B" w:rsidP="00853B5B">
      <w:pPr>
        <w:spacing w:line="240" w:lineRule="atLeast"/>
        <w:jc w:val="both"/>
      </w:pPr>
    </w:p>
    <w:p w:rsidR="00853B5B" w:rsidRDefault="00853B5B" w:rsidP="00853B5B">
      <w:pPr>
        <w:numPr>
          <w:ilvl w:val="0"/>
          <w:numId w:val="1"/>
        </w:numPr>
        <w:tabs>
          <w:tab w:val="clear" w:pos="360"/>
          <w:tab w:val="num" w:pos="720"/>
        </w:tabs>
        <w:spacing w:line="240" w:lineRule="atLeast"/>
        <w:ind w:left="720" w:hanging="720"/>
        <w:jc w:val="both"/>
      </w:pPr>
      <w:r>
        <w:t>The simplified group structures before and after the Acquisition are:</w:t>
      </w:r>
    </w:p>
    <w:p w:rsidR="00853B5B" w:rsidRDefault="00853B5B" w:rsidP="00853B5B">
      <w:pPr>
        <w:spacing w:line="240" w:lineRule="atLeast"/>
        <w:jc w:val="both"/>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3152775</wp:posOffset>
                </wp:positionH>
                <wp:positionV relativeFrom="paragraph">
                  <wp:posOffset>3872230</wp:posOffset>
                </wp:positionV>
                <wp:extent cx="457200" cy="1447800"/>
                <wp:effectExtent l="9525" t="10795" r="9525" b="8255"/>
                <wp:wrapNone/>
                <wp:docPr id="39" name="Elb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14478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9" o:spid="_x0000_s1026" type="#_x0000_t34" style="position:absolute;margin-left:248.25pt;margin-top:304.9pt;width:36pt;height:114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"/>
            </w:pict>
          </mc:Fallback>
        </mc:AlternateContent>
      </w:r>
      <w:r>
        <w:rPr>
          <w:noProof/>
          <w:lang w:val="en-US"/>
        </w:rPr>
        <mc:AlternateContent>
          <mc:Choice Requires="wps">
            <w:drawing>
              <wp:anchor distT="0" distB="0" distL="114300" distR="114300" simplePos="0" relativeHeight="251661312" behindDoc="0" locked="0" layoutInCell="1" allowOverlap="1">
                <wp:simplePos x="0" y="0"/>
                <wp:positionH relativeFrom="column">
                  <wp:posOffset>3419475</wp:posOffset>
                </wp:positionH>
                <wp:positionV relativeFrom="paragraph">
                  <wp:posOffset>4025265</wp:posOffset>
                </wp:positionV>
                <wp:extent cx="1371600" cy="342265"/>
                <wp:effectExtent l="9525" t="11430" r="9525" b="825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265"/>
                        </a:xfrm>
                        <a:prstGeom prst="rect">
                          <a:avLst/>
                        </a:prstGeom>
                        <a:solidFill>
                          <a:srgbClr val="FFFFFF"/>
                        </a:solidFill>
                        <a:ln w="9525">
                          <a:solidFill>
                            <a:srgbClr val="000000"/>
                          </a:solidFill>
                          <a:miter lim="800000"/>
                          <a:headEnd/>
                          <a:tailEnd/>
                        </a:ln>
                      </wps:spPr>
                      <wps:txbx>
                        <w:txbxContent>
                          <w:p w:rsidR="00853B5B" w:rsidRPr="000C5380" w:rsidRDefault="00853B5B" w:rsidP="00853B5B">
                            <w:pPr>
                              <w:jc w:val="center"/>
                              <w:rPr>
                                <w:lang w:val="en-US"/>
                              </w:rPr>
                            </w:pPr>
                            <w:r>
                              <w:rPr>
                                <w:lang w:val="en-US"/>
                              </w:rPr>
                              <w:t>Holding Company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69.25pt;margin-top:316.95pt;width:108pt;height:2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">
                <v:textbox>
                  <w:txbxContent>
                    <w:p w:rsidR="00853B5B" w:rsidRPr="000C5380" w:rsidRDefault="00853B5B" w:rsidP="00853B5B">
                      <w:pPr>
                        <w:jc w:val="center"/>
                        <w:rPr>
                          <w:lang w:val="en-US"/>
                        </w:rPr>
                      </w:pPr>
                      <w:r>
                        <w:rPr>
                          <w:lang w:val="en-US"/>
                        </w:rPr>
                        <w:t>Holding Company</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4025265</wp:posOffset>
                </wp:positionV>
                <wp:extent cx="1257300" cy="342265"/>
                <wp:effectExtent l="9525" t="11430" r="9525" b="825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265"/>
                        </a:xfrm>
                        <a:prstGeom prst="rect">
                          <a:avLst/>
                        </a:prstGeom>
                        <a:solidFill>
                          <a:srgbClr val="FFFFFF"/>
                        </a:solidFill>
                        <a:ln w="9525">
                          <a:solidFill>
                            <a:srgbClr val="000000"/>
                          </a:solidFill>
                          <a:miter lim="800000"/>
                          <a:headEnd/>
                          <a:tailEnd/>
                        </a:ln>
                      </wps:spPr>
                      <wps:txbx>
                        <w:txbxContent>
                          <w:p w:rsidR="00853B5B" w:rsidRPr="000C5380" w:rsidRDefault="00853B5B" w:rsidP="00853B5B">
                            <w:pPr>
                              <w:jc w:val="center"/>
                              <w:rPr>
                                <w:lang w:val="en-US"/>
                              </w:rPr>
                            </w:pPr>
                            <w:r>
                              <w:rPr>
                                <w:lang w:val="en-US"/>
                              </w:rPr>
                              <w:t>The Vendor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45pt;margin-top:316.95pt;width:99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kMLAIAAFk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">
                <v:textbox>
                  <w:txbxContent>
                    <w:p w:rsidR="00853B5B" w:rsidRPr="000C5380" w:rsidRDefault="00853B5B" w:rsidP="00853B5B">
                      <w:pPr>
                        <w:jc w:val="center"/>
                        <w:rPr>
                          <w:lang w:val="en-US"/>
                        </w:rPr>
                      </w:pPr>
                      <w:r>
                        <w:rPr>
                          <w:lang w:val="en-US"/>
                        </w:rPr>
                        <w:t>The Vendor</w:t>
                      </w: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1700530</wp:posOffset>
                </wp:positionH>
                <wp:positionV relativeFrom="paragraph">
                  <wp:posOffset>3867150</wp:posOffset>
                </wp:positionV>
                <wp:extent cx="457200" cy="1457325"/>
                <wp:effectExtent l="9525" t="10795" r="9525" b="8255"/>
                <wp:wrapNone/>
                <wp:docPr id="36" name="Elb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7200" cy="14573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36" o:spid="_x0000_s1026" type="#_x0000_t34" style="position:absolute;margin-left:133.9pt;margin-top:304.5pt;width:36pt;height:114.75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"/>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2028825</wp:posOffset>
                </wp:positionH>
                <wp:positionV relativeFrom="paragraph">
                  <wp:posOffset>4824730</wp:posOffset>
                </wp:positionV>
                <wp:extent cx="1257300" cy="342265"/>
                <wp:effectExtent l="9525" t="10795" r="9525"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265"/>
                        </a:xfrm>
                        <a:prstGeom prst="rect">
                          <a:avLst/>
                        </a:prstGeom>
                        <a:solidFill>
                          <a:srgbClr val="FFFFFF"/>
                        </a:solidFill>
                        <a:ln w="9525">
                          <a:solidFill>
                            <a:srgbClr val="000000"/>
                          </a:solidFill>
                          <a:miter lim="800000"/>
                          <a:headEnd/>
                          <a:tailEnd/>
                        </a:ln>
                      </wps:spPr>
                      <wps:txbx>
                        <w:txbxContent>
                          <w:p w:rsidR="00853B5B" w:rsidRPr="000C5380" w:rsidRDefault="00853B5B" w:rsidP="00853B5B">
                            <w:pPr>
                              <w:jc w:val="center"/>
                              <w:rPr>
                                <w:lang w:val="en-US"/>
                              </w:rPr>
                            </w:pPr>
                            <w:r>
                              <w:rPr>
                                <w:lang w:val="en-US"/>
                              </w:rPr>
                              <w:t>Company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159.75pt;margin-top:379.9pt;width:99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">
                <v:textbox>
                  <w:txbxContent>
                    <w:p w:rsidR="00853B5B" w:rsidRPr="000C5380" w:rsidRDefault="00853B5B" w:rsidP="00853B5B">
                      <w:pPr>
                        <w:jc w:val="center"/>
                        <w:rPr>
                          <w:lang w:val="en-US"/>
                        </w:rPr>
                      </w:pPr>
                      <w:r>
                        <w:rPr>
                          <w:lang w:val="en-US"/>
                        </w:rPr>
                        <w:t>Company A</w:t>
                      </w:r>
                    </w:p>
                  </w:txbxContent>
                </v:textbox>
              </v:shape>
            </w:pict>
          </mc:Fallback>
        </mc:AlternateContent>
      </w:r>
      <w:r>
        <w:rPr>
          <w:noProof/>
          <w:lang w:val="en-US"/>
        </w:rPr>
        <mc:AlternateContent>
          <mc:Choice Requires="wps">
            <w:drawing>
              <wp:anchor distT="0" distB="0" distL="114300" distR="114300" simplePos="0" relativeHeight="251662336" behindDoc="0" locked="0" layoutInCell="1" allowOverlap="1">
                <wp:simplePos x="0" y="0"/>
                <wp:positionH relativeFrom="column">
                  <wp:posOffset>2028825</wp:posOffset>
                </wp:positionH>
                <wp:positionV relativeFrom="paragraph">
                  <wp:posOffset>5396865</wp:posOffset>
                </wp:positionV>
                <wp:extent cx="1257300" cy="342265"/>
                <wp:effectExtent l="9525" t="11430" r="9525" b="825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265"/>
                        </a:xfrm>
                        <a:prstGeom prst="rect">
                          <a:avLst/>
                        </a:prstGeom>
                        <a:solidFill>
                          <a:srgbClr val="FFFFFF"/>
                        </a:solidFill>
                        <a:ln w="9525">
                          <a:solidFill>
                            <a:srgbClr val="000000"/>
                          </a:solidFill>
                          <a:miter lim="800000"/>
                          <a:headEnd/>
                          <a:tailEnd/>
                        </a:ln>
                      </wps:spPr>
                      <wps:txbx>
                        <w:txbxContent>
                          <w:p w:rsidR="00853B5B" w:rsidRPr="000C5380" w:rsidRDefault="00853B5B" w:rsidP="00853B5B">
                            <w:pPr>
                              <w:jc w:val="center"/>
                              <w:rPr>
                                <w:lang w:val="en-US"/>
                              </w:rPr>
                            </w:pPr>
                            <w:r>
                              <w:rPr>
                                <w:lang w:val="en-US"/>
                              </w:rPr>
                              <w:t>The Target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159.75pt;margin-top:424.95pt;width:99pt;height:2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T3LAIAAFk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">
                <v:textbox>
                  <w:txbxContent>
                    <w:p w:rsidR="00853B5B" w:rsidRPr="000C5380" w:rsidRDefault="00853B5B" w:rsidP="00853B5B">
                      <w:pPr>
                        <w:jc w:val="center"/>
                        <w:rPr>
                          <w:lang w:val="en-US"/>
                        </w:rPr>
                      </w:pPr>
                      <w:r>
                        <w:rPr>
                          <w:lang w:val="en-US"/>
                        </w:rPr>
                        <w:t>The Target</w:t>
                      </w:r>
                    </w:p>
                  </w:txbxContent>
                </v:textbox>
              </v:shape>
            </w:pict>
          </mc:Fallback>
        </mc:AlternateContent>
      </w:r>
      <w:r>
        <w:rPr>
          <w:noProof/>
          <w:lang w:val="en-US"/>
        </w:rPr>
        <mc:AlternateContent>
          <mc:Choice Requires="wps">
            <w:drawing>
              <wp:anchor distT="0" distB="0" distL="114300" distR="114300" simplePos="0" relativeHeight="251665408" behindDoc="0" locked="0" layoutInCell="1" allowOverlap="1">
                <wp:simplePos x="0" y="0"/>
                <wp:positionH relativeFrom="column">
                  <wp:posOffset>2657475</wp:posOffset>
                </wp:positionH>
                <wp:positionV relativeFrom="paragraph">
                  <wp:posOffset>5166995</wp:posOffset>
                </wp:positionV>
                <wp:extent cx="0" cy="229870"/>
                <wp:effectExtent l="9525" t="10160" r="9525" b="762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209.25pt;margin-top:406.85pt;width:0;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"/>
            </w:pict>
          </mc:Fallback>
        </mc:AlternateContent>
      </w:r>
      <w:r>
        <w:rPr>
          <w:noProof/>
          <w:lang w:val="en-US"/>
        </w:rPr>
        <mc:AlternateContent>
          <mc:Choice Requires="wpc">
            <w:drawing>
              <wp:inline distT="0" distB="0" distL="0" distR="0">
                <wp:extent cx="5600700" cy="6057900"/>
                <wp:effectExtent l="0" t="0" r="0" b="381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742950" y="153352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5B" w:rsidRPr="003E4DC8" w:rsidRDefault="00853B5B" w:rsidP="00853B5B">
                              <w:pPr>
                                <w:jc w:val="center"/>
                                <w:rPr>
                                  <w:sz w:val="20"/>
                                  <w:szCs w:val="20"/>
                                  <w:lang w:val="en-US"/>
                                </w:rPr>
                              </w:pPr>
                              <w:r>
                                <w:rPr>
                                  <w:sz w:val="20"/>
                                  <w:szCs w:val="20"/>
                                  <w:lang w:val="en-US"/>
                                </w:rPr>
                                <w:t>100</w:t>
                              </w:r>
                              <w:r w:rsidRPr="003E4DC8">
                                <w:rPr>
                                  <w:sz w:val="20"/>
                                  <w:szCs w:val="20"/>
                                  <w:lang w:val="en-US"/>
                                </w:rPr>
                                <w:t>%</w:t>
                              </w:r>
                            </w:p>
                          </w:txbxContent>
                        </wps:txbx>
                        <wps:bodyPr rot="0" vert="horz" wrap="square" lIns="0" tIns="0" rIns="0" bIns="0" anchor="t" anchorCtr="0" upright="1">
                          <a:noAutofit/>
                        </wps:bodyPr>
                      </wps:wsp>
                      <wps:wsp>
                        <wps:cNvPr id="2" name="Text Box 5"/>
                        <wps:cNvSpPr txBox="1">
                          <a:spLocks noChangeArrowheads="1"/>
                        </wps:cNvSpPr>
                        <wps:spPr bwMode="auto">
                          <a:xfrm>
                            <a:off x="4114800" y="208597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5B" w:rsidRPr="003E4DC8" w:rsidRDefault="00853B5B" w:rsidP="00853B5B">
                              <w:pPr>
                                <w:jc w:val="center"/>
                                <w:rPr>
                                  <w:sz w:val="20"/>
                                  <w:szCs w:val="20"/>
                                  <w:lang w:val="en-US"/>
                                </w:rPr>
                              </w:pPr>
                              <w:r>
                                <w:rPr>
                                  <w:sz w:val="20"/>
                                  <w:szCs w:val="20"/>
                                  <w:lang w:val="en-US"/>
                                </w:rPr>
                                <w:t>&gt;</w:t>
                              </w:r>
                              <w:r w:rsidRPr="003E4DC8">
                                <w:rPr>
                                  <w:sz w:val="20"/>
                                  <w:szCs w:val="20"/>
                                  <w:lang w:val="en-US"/>
                                </w:rPr>
                                <w:t>5</w:t>
                              </w:r>
                              <w:r>
                                <w:rPr>
                                  <w:sz w:val="20"/>
                                  <w:szCs w:val="20"/>
                                  <w:lang w:val="en-US"/>
                                </w:rPr>
                                <w:t>0</w:t>
                              </w:r>
                              <w:r w:rsidRPr="003E4DC8">
                                <w:rPr>
                                  <w:sz w:val="20"/>
                                  <w:szCs w:val="20"/>
                                  <w:lang w:val="en-US"/>
                                </w:rPr>
                                <w:t>%</w:t>
                              </w:r>
                            </w:p>
                          </w:txbxContent>
                        </wps:txbx>
                        <wps:bodyPr rot="0" vert="horz" wrap="square" lIns="0" tIns="0" rIns="0" bIns="0" anchor="t" anchorCtr="0" upright="1">
                          <a:noAutofit/>
                        </wps:bodyPr>
                      </wps:wsp>
                      <wps:wsp>
                        <wps:cNvPr id="3" name="Text Box 6"/>
                        <wps:cNvSpPr txBox="1">
                          <a:spLocks noChangeArrowheads="1"/>
                        </wps:cNvSpPr>
                        <wps:spPr bwMode="auto">
                          <a:xfrm>
                            <a:off x="723900" y="210502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5B" w:rsidRPr="003E4DC8" w:rsidRDefault="00853B5B" w:rsidP="00853B5B">
                              <w:pPr>
                                <w:jc w:val="center"/>
                                <w:rPr>
                                  <w:sz w:val="20"/>
                                  <w:szCs w:val="20"/>
                                  <w:lang w:val="en-US"/>
                                </w:rPr>
                              </w:pPr>
                              <w:r>
                                <w:rPr>
                                  <w:sz w:val="20"/>
                                  <w:szCs w:val="20"/>
                                  <w:lang w:val="en-US"/>
                                </w:rPr>
                                <w:t>&gt;50</w:t>
                              </w:r>
                              <w:r w:rsidRPr="003E4DC8">
                                <w:rPr>
                                  <w:sz w:val="20"/>
                                  <w:szCs w:val="20"/>
                                  <w:lang w:val="en-US"/>
                                </w:rPr>
                                <w:t>%</w:t>
                              </w:r>
                            </w:p>
                          </w:txbxContent>
                        </wps:txbx>
                        <wps:bodyPr rot="0" vert="horz" wrap="square" lIns="0" tIns="0" rIns="0" bIns="0" anchor="t" anchorCtr="0" upright="1">
                          <a:noAutofit/>
                        </wps:bodyPr>
                      </wps:wsp>
                      <wps:wsp>
                        <wps:cNvPr id="4" name="Text Box 7"/>
                        <wps:cNvSpPr txBox="1">
                          <a:spLocks noChangeArrowheads="1"/>
                        </wps:cNvSpPr>
                        <wps:spPr bwMode="auto">
                          <a:xfrm>
                            <a:off x="4105275" y="151447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5B" w:rsidRPr="003E4DC8" w:rsidRDefault="00853B5B" w:rsidP="00853B5B">
                              <w:pPr>
                                <w:jc w:val="center"/>
                                <w:rPr>
                                  <w:sz w:val="20"/>
                                  <w:szCs w:val="20"/>
                                  <w:lang w:val="en-US"/>
                                </w:rPr>
                              </w:pPr>
                              <w:r w:rsidRPr="003E4DC8">
                                <w:rPr>
                                  <w:sz w:val="20"/>
                                  <w:szCs w:val="20"/>
                                  <w:lang w:val="en-US"/>
                                </w:rPr>
                                <w:t>100%</w:t>
                              </w:r>
                            </w:p>
                          </w:txbxContent>
                        </wps:txbx>
                        <wps:bodyPr rot="0" vert="horz" wrap="square" lIns="0" tIns="0" rIns="0" bIns="0" anchor="t" anchorCtr="0" upright="1">
                          <a:noAutofit/>
                        </wps:bodyPr>
                      </wps:wsp>
                      <wps:wsp>
                        <wps:cNvPr id="5" name="Text Box 8"/>
                        <wps:cNvSpPr txBox="1">
                          <a:spLocks noChangeArrowheads="1"/>
                        </wps:cNvSpPr>
                        <wps:spPr bwMode="auto">
                          <a:xfrm>
                            <a:off x="1537970" y="457200"/>
                            <a:ext cx="2171700" cy="342900"/>
                          </a:xfrm>
                          <a:prstGeom prst="rect">
                            <a:avLst/>
                          </a:prstGeom>
                          <a:solidFill>
                            <a:srgbClr val="FFFFFF"/>
                          </a:solidFill>
                          <a:ln w="9525">
                            <a:solidFill>
                              <a:srgbClr val="000000"/>
                            </a:solidFill>
                            <a:miter lim="800000"/>
                            <a:headEnd/>
                            <a:tailEnd/>
                          </a:ln>
                        </wps:spPr>
                        <wps:txbx>
                          <w:txbxContent>
                            <w:p w:rsidR="00853B5B" w:rsidRPr="000C5380" w:rsidRDefault="00853B5B" w:rsidP="00853B5B">
                              <w:pPr>
                                <w:jc w:val="center"/>
                                <w:rPr>
                                  <w:lang w:val="en-US"/>
                                </w:rPr>
                              </w:pPr>
                              <w:r>
                                <w:rPr>
                                  <w:lang w:val="en-US"/>
                                </w:rPr>
                                <w:t>The Municipal Government</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514350" y="1143635"/>
                            <a:ext cx="1257300" cy="342265"/>
                          </a:xfrm>
                          <a:prstGeom prst="rect">
                            <a:avLst/>
                          </a:prstGeom>
                          <a:solidFill>
                            <a:srgbClr val="FFFFFF"/>
                          </a:solidFill>
                          <a:ln w="9525">
                            <a:solidFill>
                              <a:srgbClr val="000000"/>
                            </a:solidFill>
                            <a:miter lim="800000"/>
                            <a:headEnd/>
                            <a:tailEnd/>
                          </a:ln>
                        </wps:spPr>
                        <wps:txbx>
                          <w:txbxContent>
                            <w:p w:rsidR="00853B5B" w:rsidRPr="000C5380" w:rsidRDefault="00853B5B" w:rsidP="00853B5B">
                              <w:pPr>
                                <w:jc w:val="center"/>
                                <w:rPr>
                                  <w:lang w:val="en-US"/>
                                </w:rPr>
                              </w:pPr>
                              <w:r>
                                <w:rPr>
                                  <w:lang w:val="en-US"/>
                                </w:rPr>
                                <w:t>Entity X</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514350" y="1700530"/>
                            <a:ext cx="1257300" cy="342265"/>
                          </a:xfrm>
                          <a:prstGeom prst="rect">
                            <a:avLst/>
                          </a:prstGeom>
                          <a:solidFill>
                            <a:srgbClr val="FFFFFF"/>
                          </a:solidFill>
                          <a:ln w="9525">
                            <a:solidFill>
                              <a:srgbClr val="000000"/>
                            </a:solidFill>
                            <a:miter lim="800000"/>
                            <a:headEnd/>
                            <a:tailEnd/>
                          </a:ln>
                        </wps:spPr>
                        <wps:txbx>
                          <w:txbxContent>
                            <w:p w:rsidR="00853B5B" w:rsidRPr="000C5380" w:rsidRDefault="00853B5B" w:rsidP="00853B5B">
                              <w:pPr>
                                <w:jc w:val="center"/>
                                <w:rPr>
                                  <w:lang w:val="en-US"/>
                                </w:rPr>
                              </w:pPr>
                              <w:r>
                                <w:rPr>
                                  <w:lang w:val="en-US"/>
                                </w:rPr>
                                <w:t>The Vendor</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400425" y="1143635"/>
                            <a:ext cx="1257300" cy="342265"/>
                          </a:xfrm>
                          <a:prstGeom prst="rect">
                            <a:avLst/>
                          </a:prstGeom>
                          <a:solidFill>
                            <a:srgbClr val="FFFFFF"/>
                          </a:solidFill>
                          <a:ln w="9525">
                            <a:solidFill>
                              <a:srgbClr val="000000"/>
                            </a:solidFill>
                            <a:miter lim="800000"/>
                            <a:headEnd/>
                            <a:tailEnd/>
                          </a:ln>
                        </wps:spPr>
                        <wps:txbx>
                          <w:txbxContent>
                            <w:p w:rsidR="00853B5B" w:rsidRPr="000C5380" w:rsidRDefault="00853B5B" w:rsidP="00853B5B">
                              <w:pPr>
                                <w:jc w:val="center"/>
                                <w:rPr>
                                  <w:lang w:val="en-US"/>
                                </w:rPr>
                              </w:pPr>
                              <w:r>
                                <w:rPr>
                                  <w:lang w:val="en-US"/>
                                </w:rPr>
                                <w:t>Entity Y</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3314700" y="1686560"/>
                            <a:ext cx="1428750" cy="342265"/>
                          </a:xfrm>
                          <a:prstGeom prst="rect">
                            <a:avLst/>
                          </a:prstGeom>
                          <a:solidFill>
                            <a:srgbClr val="FFFFFF"/>
                          </a:solidFill>
                          <a:ln w="9525">
                            <a:solidFill>
                              <a:srgbClr val="000000"/>
                            </a:solidFill>
                            <a:miter lim="800000"/>
                            <a:headEnd/>
                            <a:tailEnd/>
                          </a:ln>
                        </wps:spPr>
                        <wps:txbx>
                          <w:txbxContent>
                            <w:p w:rsidR="00853B5B" w:rsidRPr="000C5380" w:rsidRDefault="00853B5B" w:rsidP="00853B5B">
                              <w:pPr>
                                <w:jc w:val="center"/>
                                <w:rPr>
                                  <w:lang w:val="en-US"/>
                                </w:rPr>
                              </w:pPr>
                              <w:r>
                                <w:rPr>
                                  <w:lang w:val="en-US"/>
                                </w:rPr>
                                <w:t>Holding Company</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14300" y="11430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B5B" w:rsidRPr="000C5380" w:rsidRDefault="00853B5B" w:rsidP="00853B5B">
                              <w:pPr>
                                <w:rPr>
                                  <w:b/>
                                  <w:u w:val="single"/>
                                  <w:lang w:val="en-US"/>
                                </w:rPr>
                              </w:pPr>
                              <w:r w:rsidRPr="000C5380">
                                <w:rPr>
                                  <w:b/>
                                  <w:u w:val="single"/>
                                  <w:lang w:val="en-US"/>
                                </w:rPr>
                                <w:t>Before the Acquisition</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04775" y="2695575"/>
                            <a:ext cx="17145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B5B" w:rsidRPr="000C5380" w:rsidRDefault="00853B5B" w:rsidP="00853B5B">
                              <w:pPr>
                                <w:rPr>
                                  <w:b/>
                                  <w:u w:val="single"/>
                                  <w:lang w:val="en-US"/>
                                </w:rPr>
                              </w:pPr>
                              <w:r>
                                <w:rPr>
                                  <w:b/>
                                  <w:u w:val="single"/>
                                  <w:lang w:val="en-US"/>
                                </w:rPr>
                                <w:t xml:space="preserve">After </w:t>
                              </w:r>
                              <w:r w:rsidRPr="000C5380">
                                <w:rPr>
                                  <w:b/>
                                  <w:u w:val="single"/>
                                  <w:lang w:val="en-US"/>
                                </w:rPr>
                                <w:t>the Acquisition</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514350" y="2257425"/>
                            <a:ext cx="1257300" cy="342265"/>
                          </a:xfrm>
                          <a:prstGeom prst="rect">
                            <a:avLst/>
                          </a:prstGeom>
                          <a:solidFill>
                            <a:srgbClr val="FFFFFF"/>
                          </a:solidFill>
                          <a:ln w="9525">
                            <a:solidFill>
                              <a:srgbClr val="000000"/>
                            </a:solidFill>
                            <a:miter lim="800000"/>
                            <a:headEnd/>
                            <a:tailEnd/>
                          </a:ln>
                        </wps:spPr>
                        <wps:txbx>
                          <w:txbxContent>
                            <w:p w:rsidR="00853B5B" w:rsidRPr="000C5380" w:rsidRDefault="00853B5B" w:rsidP="00853B5B">
                              <w:pPr>
                                <w:jc w:val="center"/>
                                <w:rPr>
                                  <w:lang w:val="en-US"/>
                                </w:rPr>
                              </w:pPr>
                              <w:r>
                                <w:rPr>
                                  <w:lang w:val="en-US"/>
                                </w:rPr>
                                <w:t>The Target</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3400425" y="2229485"/>
                            <a:ext cx="1257300" cy="342265"/>
                          </a:xfrm>
                          <a:prstGeom prst="rect">
                            <a:avLst/>
                          </a:prstGeom>
                          <a:solidFill>
                            <a:srgbClr val="FFFFFF"/>
                          </a:solidFill>
                          <a:ln w="9525">
                            <a:solidFill>
                              <a:srgbClr val="000000"/>
                            </a:solidFill>
                            <a:miter lim="800000"/>
                            <a:headEnd/>
                            <a:tailEnd/>
                          </a:ln>
                        </wps:spPr>
                        <wps:txbx>
                          <w:txbxContent>
                            <w:p w:rsidR="00853B5B" w:rsidRPr="000C5380" w:rsidRDefault="00853B5B" w:rsidP="00853B5B">
                              <w:pPr>
                                <w:jc w:val="center"/>
                                <w:rPr>
                                  <w:lang w:val="en-US"/>
                                </w:rPr>
                              </w:pPr>
                              <w:r>
                                <w:rPr>
                                  <w:lang w:val="en-US"/>
                                </w:rPr>
                                <w:t>Company A</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4152900" y="43815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5B" w:rsidRPr="003E4DC8" w:rsidRDefault="00853B5B" w:rsidP="00853B5B">
                              <w:pPr>
                                <w:jc w:val="center"/>
                                <w:rPr>
                                  <w:sz w:val="20"/>
                                  <w:szCs w:val="20"/>
                                  <w:lang w:val="en-US"/>
                                </w:rPr>
                              </w:pPr>
                              <w:r>
                                <w:rPr>
                                  <w:sz w:val="20"/>
                                  <w:szCs w:val="20"/>
                                  <w:lang w:val="en-US"/>
                                </w:rPr>
                                <w:t>20</w:t>
                              </w:r>
                              <w:r w:rsidRPr="003E4DC8">
                                <w:rPr>
                                  <w:sz w:val="20"/>
                                  <w:szCs w:val="20"/>
                                  <w:lang w:val="en-US"/>
                                </w:rPr>
                                <w:t>%</w:t>
                              </w:r>
                            </w:p>
                          </w:txbxContent>
                        </wps:txbx>
                        <wps:bodyPr rot="0" vert="horz" wrap="square" lIns="0" tIns="0" rIns="0" bIns="0" anchor="t" anchorCtr="0" upright="1">
                          <a:noAutofit/>
                        </wps:bodyPr>
                      </wps:wsp>
                      <wps:wsp>
                        <wps:cNvPr id="15" name="Text Box 18"/>
                        <wps:cNvSpPr txBox="1">
                          <a:spLocks noChangeArrowheads="1"/>
                        </wps:cNvSpPr>
                        <wps:spPr bwMode="auto">
                          <a:xfrm>
                            <a:off x="4162425" y="386715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5B" w:rsidRPr="003E4DC8" w:rsidRDefault="00853B5B" w:rsidP="00853B5B">
                              <w:pPr>
                                <w:jc w:val="center"/>
                                <w:rPr>
                                  <w:sz w:val="20"/>
                                  <w:szCs w:val="20"/>
                                  <w:lang w:val="en-US"/>
                                </w:rPr>
                              </w:pPr>
                              <w:r w:rsidRPr="003E4DC8">
                                <w:rPr>
                                  <w:sz w:val="20"/>
                                  <w:szCs w:val="20"/>
                                  <w:lang w:val="en-US"/>
                                </w:rPr>
                                <w:t>100%</w:t>
                              </w:r>
                            </w:p>
                          </w:txbxContent>
                        </wps:txbx>
                        <wps:bodyPr rot="0" vert="horz" wrap="square" lIns="0" tIns="0" rIns="0" bIns="0" anchor="t" anchorCtr="0" upright="1">
                          <a:noAutofit/>
                        </wps:bodyPr>
                      </wps:wsp>
                      <wps:wsp>
                        <wps:cNvPr id="16" name="Text Box 19"/>
                        <wps:cNvSpPr txBox="1">
                          <a:spLocks noChangeArrowheads="1"/>
                        </wps:cNvSpPr>
                        <wps:spPr bwMode="auto">
                          <a:xfrm>
                            <a:off x="828675" y="3876675"/>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5B" w:rsidRPr="003E4DC8" w:rsidRDefault="00853B5B" w:rsidP="00853B5B">
                              <w:pPr>
                                <w:jc w:val="center"/>
                                <w:rPr>
                                  <w:sz w:val="20"/>
                                  <w:szCs w:val="20"/>
                                  <w:lang w:val="en-US"/>
                                </w:rPr>
                              </w:pPr>
                              <w:r>
                                <w:rPr>
                                  <w:sz w:val="20"/>
                                  <w:szCs w:val="20"/>
                                  <w:lang w:val="en-US"/>
                                </w:rPr>
                                <w:t>100</w:t>
                              </w:r>
                              <w:r w:rsidRPr="003E4DC8">
                                <w:rPr>
                                  <w:sz w:val="20"/>
                                  <w:szCs w:val="20"/>
                                  <w:lang w:val="en-US"/>
                                </w:rPr>
                                <w:t>%</w:t>
                              </w:r>
                            </w:p>
                          </w:txbxContent>
                        </wps:txbx>
                        <wps:bodyPr rot="0" vert="horz" wrap="square" lIns="0" tIns="0" rIns="0" bIns="0" anchor="t" anchorCtr="0" upright="1">
                          <a:noAutofit/>
                        </wps:bodyPr>
                      </wps:wsp>
                      <wps:wsp>
                        <wps:cNvPr id="17" name="Text Box 20"/>
                        <wps:cNvSpPr txBox="1">
                          <a:spLocks noChangeArrowheads="1"/>
                        </wps:cNvSpPr>
                        <wps:spPr bwMode="auto">
                          <a:xfrm>
                            <a:off x="838200" y="43815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5B" w:rsidRPr="003E4DC8" w:rsidRDefault="00853B5B" w:rsidP="00853B5B">
                              <w:pPr>
                                <w:jc w:val="center"/>
                                <w:rPr>
                                  <w:sz w:val="20"/>
                                  <w:szCs w:val="20"/>
                                  <w:lang w:val="en-US"/>
                                </w:rPr>
                              </w:pPr>
                              <w:r>
                                <w:rPr>
                                  <w:sz w:val="20"/>
                                  <w:szCs w:val="20"/>
                                  <w:lang w:val="en-US"/>
                                </w:rPr>
                                <w:t>&gt;50</w:t>
                              </w:r>
                              <w:r w:rsidRPr="003E4DC8">
                                <w:rPr>
                                  <w:sz w:val="20"/>
                                  <w:szCs w:val="20"/>
                                  <w:lang w:val="en-US"/>
                                </w:rPr>
                                <w:t>%</w:t>
                              </w:r>
                            </w:p>
                          </w:txbxContent>
                        </wps:txbx>
                        <wps:bodyPr rot="0" vert="horz" wrap="square" lIns="0" tIns="0" rIns="0" bIns="0" anchor="t" anchorCtr="0" upright="1">
                          <a:noAutofit/>
                        </wps:bodyPr>
                      </wps:wsp>
                      <wps:wsp>
                        <wps:cNvPr id="18" name="Text Box 21"/>
                        <wps:cNvSpPr txBox="1">
                          <a:spLocks noChangeArrowheads="1"/>
                        </wps:cNvSpPr>
                        <wps:spPr bwMode="auto">
                          <a:xfrm>
                            <a:off x="2724150" y="521970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5B" w:rsidRPr="003E4DC8" w:rsidRDefault="00853B5B" w:rsidP="00853B5B">
                              <w:pPr>
                                <w:rPr>
                                  <w:sz w:val="20"/>
                                  <w:szCs w:val="20"/>
                                  <w:lang w:val="en-US"/>
                                </w:rPr>
                              </w:pPr>
                              <w:r>
                                <w:rPr>
                                  <w:sz w:val="20"/>
                                  <w:szCs w:val="20"/>
                                  <w:lang w:val="en-US"/>
                                </w:rPr>
                                <w:t>&gt;50%</w:t>
                              </w:r>
                            </w:p>
                          </w:txbxContent>
                        </wps:txbx>
                        <wps:bodyPr rot="0" vert="horz" wrap="square" lIns="0" tIns="0" rIns="0" bIns="0" anchor="t" anchorCtr="0" upright="1">
                          <a:noAutofit/>
                        </wps:bodyPr>
                      </wps:wsp>
                      <wps:wsp>
                        <wps:cNvPr id="19" name="AutoShape 22"/>
                        <wps:cNvCnPr>
                          <a:cxnSpLocks noChangeShapeType="1"/>
                          <a:endCxn id="6" idx="3"/>
                        </wps:cNvCnPr>
                        <wps:spPr bwMode="auto">
                          <a:xfrm flipH="1">
                            <a:off x="1771650" y="800100"/>
                            <a:ext cx="909320" cy="5149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3"/>
                        <wps:cNvCnPr>
                          <a:cxnSpLocks noChangeShapeType="1"/>
                          <a:stCxn id="5" idx="2"/>
                          <a:endCxn id="8" idx="1"/>
                        </wps:cNvCnPr>
                        <wps:spPr bwMode="auto">
                          <a:xfrm>
                            <a:off x="2623820" y="800100"/>
                            <a:ext cx="776605" cy="5149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4"/>
                        <wps:cNvCnPr>
                          <a:cxnSpLocks noChangeShapeType="1"/>
                          <a:stCxn id="6" idx="2"/>
                          <a:endCxn id="7" idx="0"/>
                        </wps:cNvCnPr>
                        <wps:spPr bwMode="auto">
                          <a:xfrm>
                            <a:off x="1143000" y="1485900"/>
                            <a:ext cx="635"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5"/>
                        <wps:cNvCnPr>
                          <a:cxnSpLocks noChangeShapeType="1"/>
                          <a:stCxn id="7" idx="2"/>
                          <a:endCxn id="12" idx="0"/>
                        </wps:cNvCnPr>
                        <wps:spPr bwMode="auto">
                          <a:xfrm>
                            <a:off x="1143000" y="2042795"/>
                            <a:ext cx="635"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6"/>
                        <wps:cNvCnPr>
                          <a:cxnSpLocks noChangeShapeType="1"/>
                          <a:stCxn id="8" idx="2"/>
                          <a:endCxn id="9" idx="0"/>
                        </wps:cNvCnPr>
                        <wps:spPr bwMode="auto">
                          <a:xfrm>
                            <a:off x="4029075" y="1485900"/>
                            <a:ext cx="635"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
                        <wps:cNvCnPr>
                          <a:cxnSpLocks noChangeShapeType="1"/>
                          <a:stCxn id="9" idx="2"/>
                          <a:endCxn id="13" idx="0"/>
                        </wps:cNvCnPr>
                        <wps:spPr bwMode="auto">
                          <a:xfrm>
                            <a:off x="4029075" y="2028825"/>
                            <a:ext cx="635"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8"/>
                        <wps:cNvSpPr txBox="1">
                          <a:spLocks noChangeArrowheads="1"/>
                        </wps:cNvSpPr>
                        <wps:spPr bwMode="auto">
                          <a:xfrm>
                            <a:off x="1538605" y="3000375"/>
                            <a:ext cx="2171700" cy="342900"/>
                          </a:xfrm>
                          <a:prstGeom prst="rect">
                            <a:avLst/>
                          </a:prstGeom>
                          <a:solidFill>
                            <a:srgbClr val="FFFFFF"/>
                          </a:solidFill>
                          <a:ln w="9525">
                            <a:solidFill>
                              <a:srgbClr val="000000"/>
                            </a:solidFill>
                            <a:miter lim="800000"/>
                            <a:headEnd/>
                            <a:tailEnd/>
                          </a:ln>
                        </wps:spPr>
                        <wps:txbx>
                          <w:txbxContent>
                            <w:p w:rsidR="00853B5B" w:rsidRPr="000C5380" w:rsidRDefault="00853B5B" w:rsidP="00853B5B">
                              <w:pPr>
                                <w:jc w:val="center"/>
                                <w:rPr>
                                  <w:lang w:val="en-US"/>
                                </w:rPr>
                              </w:pPr>
                              <w:r>
                                <w:rPr>
                                  <w:lang w:val="en-US"/>
                                </w:rPr>
                                <w:t>The Municipal Government</w:t>
                              </w:r>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571500" y="3505200"/>
                            <a:ext cx="1257300" cy="342265"/>
                          </a:xfrm>
                          <a:prstGeom prst="rect">
                            <a:avLst/>
                          </a:prstGeom>
                          <a:solidFill>
                            <a:srgbClr val="FFFFFF"/>
                          </a:solidFill>
                          <a:ln w="9525">
                            <a:solidFill>
                              <a:srgbClr val="000000"/>
                            </a:solidFill>
                            <a:miter lim="800000"/>
                            <a:headEnd/>
                            <a:tailEnd/>
                          </a:ln>
                        </wps:spPr>
                        <wps:txbx>
                          <w:txbxContent>
                            <w:p w:rsidR="00853B5B" w:rsidRPr="000C5380" w:rsidRDefault="00853B5B" w:rsidP="00853B5B">
                              <w:pPr>
                                <w:jc w:val="center"/>
                                <w:rPr>
                                  <w:lang w:val="en-US"/>
                                </w:rPr>
                              </w:pPr>
                              <w:r>
                                <w:rPr>
                                  <w:lang w:val="en-US"/>
                                </w:rPr>
                                <w:t>Entity X</w:t>
                              </w:r>
                            </w:p>
                          </w:txbxContent>
                        </wps:txbx>
                        <wps:bodyPr rot="0" vert="horz" wrap="square" lIns="91440" tIns="45720" rIns="91440" bIns="45720" anchor="t" anchorCtr="0" upright="1">
                          <a:noAutofit/>
                        </wps:bodyPr>
                      </wps:wsp>
                      <wps:wsp>
                        <wps:cNvPr id="27" name="Text Box 30"/>
                        <wps:cNvSpPr txBox="1">
                          <a:spLocks noChangeArrowheads="1"/>
                        </wps:cNvSpPr>
                        <wps:spPr bwMode="auto">
                          <a:xfrm>
                            <a:off x="3467100" y="3505200"/>
                            <a:ext cx="1257300" cy="342265"/>
                          </a:xfrm>
                          <a:prstGeom prst="rect">
                            <a:avLst/>
                          </a:prstGeom>
                          <a:solidFill>
                            <a:srgbClr val="FFFFFF"/>
                          </a:solidFill>
                          <a:ln w="9525">
                            <a:solidFill>
                              <a:srgbClr val="000000"/>
                            </a:solidFill>
                            <a:miter lim="800000"/>
                            <a:headEnd/>
                            <a:tailEnd/>
                          </a:ln>
                        </wps:spPr>
                        <wps:txbx>
                          <w:txbxContent>
                            <w:p w:rsidR="00853B5B" w:rsidRPr="000C5380" w:rsidRDefault="00853B5B" w:rsidP="00853B5B">
                              <w:pPr>
                                <w:jc w:val="center"/>
                                <w:rPr>
                                  <w:lang w:val="en-US"/>
                                </w:rPr>
                              </w:pPr>
                              <w:r>
                                <w:rPr>
                                  <w:lang w:val="en-US"/>
                                </w:rPr>
                                <w:t>Entity Y</w:t>
                              </w:r>
                            </w:p>
                          </w:txbxContent>
                        </wps:txbx>
                        <wps:bodyPr rot="0" vert="horz" wrap="square" lIns="91440" tIns="45720" rIns="91440" bIns="45720" anchor="t" anchorCtr="0" upright="1">
                          <a:noAutofit/>
                        </wps:bodyPr>
                      </wps:wsp>
                      <wps:wsp>
                        <wps:cNvPr id="28" name="AutoShape 31"/>
                        <wps:cNvCnPr>
                          <a:cxnSpLocks noChangeShapeType="1"/>
                          <a:stCxn id="25" idx="2"/>
                          <a:endCxn id="26" idx="3"/>
                        </wps:cNvCnPr>
                        <wps:spPr bwMode="auto">
                          <a:xfrm flipH="1">
                            <a:off x="1828800" y="3343275"/>
                            <a:ext cx="795655" cy="333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AutoShape 32"/>
                        <wps:cNvCnPr>
                          <a:cxnSpLocks noChangeShapeType="1"/>
                          <a:stCxn id="25" idx="2"/>
                          <a:endCxn id="27" idx="1"/>
                        </wps:cNvCnPr>
                        <wps:spPr bwMode="auto">
                          <a:xfrm>
                            <a:off x="2624455" y="3343275"/>
                            <a:ext cx="842645" cy="3333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33"/>
                        <wps:cNvCnPr/>
                        <wps:spPr bwMode="auto">
                          <a:xfrm>
                            <a:off x="1200150" y="38481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a:off x="4105275" y="384810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2" o:spid="_x0000_s1030" editas="canvas" style="width:441pt;height:477pt;mso-position-horizontal-relative:char;mso-position-vertical-relative:line" coordsize="56007,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6007;height:60579;visibility:visible;mso-wrap-style:square">
                  <v:fill o:detectmouseclick="t"/>
                  <v:path o:connecttype="none"/>
                </v:shape>
                <v:shape id="Text Box 4" o:spid="_x0000_s1032" type="#_x0000_t202" style="position:absolute;left:7429;top:15335;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rsidR="00853B5B" w:rsidRPr="003E4DC8" w:rsidRDefault="00853B5B" w:rsidP="00853B5B">
                        <w:pPr>
                          <w:jc w:val="center"/>
                          <w:rPr>
                            <w:sz w:val="20"/>
                            <w:szCs w:val="20"/>
                            <w:lang w:val="en-US"/>
                          </w:rPr>
                        </w:pPr>
                        <w:r>
                          <w:rPr>
                            <w:sz w:val="20"/>
                            <w:szCs w:val="20"/>
                            <w:lang w:val="en-US"/>
                          </w:rPr>
                          <w:t>100</w:t>
                        </w:r>
                        <w:r w:rsidRPr="003E4DC8">
                          <w:rPr>
                            <w:sz w:val="20"/>
                            <w:szCs w:val="20"/>
                            <w:lang w:val="en-US"/>
                          </w:rPr>
                          <w:t>%</w:t>
                        </w:r>
                      </w:p>
                    </w:txbxContent>
                  </v:textbox>
                </v:shape>
                <v:shape id="Text Box 5" o:spid="_x0000_s1033" type="#_x0000_t202" style="position:absolute;left:41148;top:20859;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853B5B" w:rsidRPr="003E4DC8" w:rsidRDefault="00853B5B" w:rsidP="00853B5B">
                        <w:pPr>
                          <w:jc w:val="center"/>
                          <w:rPr>
                            <w:sz w:val="20"/>
                            <w:szCs w:val="20"/>
                            <w:lang w:val="en-US"/>
                          </w:rPr>
                        </w:pPr>
                        <w:r>
                          <w:rPr>
                            <w:sz w:val="20"/>
                            <w:szCs w:val="20"/>
                            <w:lang w:val="en-US"/>
                          </w:rPr>
                          <w:t>&gt;</w:t>
                        </w:r>
                        <w:r w:rsidRPr="003E4DC8">
                          <w:rPr>
                            <w:sz w:val="20"/>
                            <w:szCs w:val="20"/>
                            <w:lang w:val="en-US"/>
                          </w:rPr>
                          <w:t>5</w:t>
                        </w:r>
                        <w:r>
                          <w:rPr>
                            <w:sz w:val="20"/>
                            <w:szCs w:val="20"/>
                            <w:lang w:val="en-US"/>
                          </w:rPr>
                          <w:t>0</w:t>
                        </w:r>
                        <w:r w:rsidRPr="003E4DC8">
                          <w:rPr>
                            <w:sz w:val="20"/>
                            <w:szCs w:val="20"/>
                            <w:lang w:val="en-US"/>
                          </w:rPr>
                          <w:t>%</w:t>
                        </w:r>
                      </w:p>
                    </w:txbxContent>
                  </v:textbox>
                </v:shape>
                <v:shape id="Text Box 6" o:spid="_x0000_s1034" type="#_x0000_t202" style="position:absolute;left:7239;top:21050;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M1cIA&#10;AADaAAAADwAAAGRycy9kb3ducmV2LnhtbESPT4vCMBTE7wt+h/AEL4umK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4zVwgAAANoAAAAPAAAAAAAAAAAAAAAAAJgCAABkcnMvZG93&#10;bnJldi54bWxQSwUGAAAAAAQABAD1AAAAhwMAAAAA&#10;" stroked="f">
                  <v:textbox inset="0,0,0,0">
                    <w:txbxContent>
                      <w:p w:rsidR="00853B5B" w:rsidRPr="003E4DC8" w:rsidRDefault="00853B5B" w:rsidP="00853B5B">
                        <w:pPr>
                          <w:jc w:val="center"/>
                          <w:rPr>
                            <w:sz w:val="20"/>
                            <w:szCs w:val="20"/>
                            <w:lang w:val="en-US"/>
                          </w:rPr>
                        </w:pPr>
                        <w:r>
                          <w:rPr>
                            <w:sz w:val="20"/>
                            <w:szCs w:val="20"/>
                            <w:lang w:val="en-US"/>
                          </w:rPr>
                          <w:t>&gt;50</w:t>
                        </w:r>
                        <w:r w:rsidRPr="003E4DC8">
                          <w:rPr>
                            <w:sz w:val="20"/>
                            <w:szCs w:val="20"/>
                            <w:lang w:val="en-US"/>
                          </w:rPr>
                          <w:t>%</w:t>
                        </w:r>
                      </w:p>
                    </w:txbxContent>
                  </v:textbox>
                </v:shape>
                <v:shape id="Text Box 7" o:spid="_x0000_s1035" type="#_x0000_t202" style="position:absolute;left:41052;top:15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853B5B" w:rsidRPr="003E4DC8" w:rsidRDefault="00853B5B" w:rsidP="00853B5B">
                        <w:pPr>
                          <w:jc w:val="center"/>
                          <w:rPr>
                            <w:sz w:val="20"/>
                            <w:szCs w:val="20"/>
                            <w:lang w:val="en-US"/>
                          </w:rPr>
                        </w:pPr>
                        <w:r w:rsidRPr="003E4DC8">
                          <w:rPr>
                            <w:sz w:val="20"/>
                            <w:szCs w:val="20"/>
                            <w:lang w:val="en-US"/>
                          </w:rPr>
                          <w:t>100%</w:t>
                        </w:r>
                      </w:p>
                    </w:txbxContent>
                  </v:textbox>
                </v:shape>
                <v:shape id="Text Box 8" o:spid="_x0000_s1036" type="#_x0000_t202" style="position:absolute;left:15379;top:4572;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53B5B" w:rsidRPr="000C5380" w:rsidRDefault="00853B5B" w:rsidP="00853B5B">
                        <w:pPr>
                          <w:jc w:val="center"/>
                          <w:rPr>
                            <w:lang w:val="en-US"/>
                          </w:rPr>
                        </w:pPr>
                        <w:r>
                          <w:rPr>
                            <w:lang w:val="en-US"/>
                          </w:rPr>
                          <w:t>The Municipal Government</w:t>
                        </w:r>
                      </w:p>
                    </w:txbxContent>
                  </v:textbox>
                </v:shape>
                <v:shape id="Text Box 9" o:spid="_x0000_s1037" type="#_x0000_t202" style="position:absolute;left:5143;top:11436;width:12573;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53B5B" w:rsidRPr="000C5380" w:rsidRDefault="00853B5B" w:rsidP="00853B5B">
                        <w:pPr>
                          <w:jc w:val="center"/>
                          <w:rPr>
                            <w:lang w:val="en-US"/>
                          </w:rPr>
                        </w:pPr>
                        <w:r>
                          <w:rPr>
                            <w:lang w:val="en-US"/>
                          </w:rPr>
                          <w:t>Entity X</w:t>
                        </w:r>
                      </w:p>
                    </w:txbxContent>
                  </v:textbox>
                </v:shape>
                <v:shape id="Text Box 10" o:spid="_x0000_s1038" type="#_x0000_t202" style="position:absolute;left:5143;top:17005;width:1257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53B5B" w:rsidRPr="000C5380" w:rsidRDefault="00853B5B" w:rsidP="00853B5B">
                        <w:pPr>
                          <w:jc w:val="center"/>
                          <w:rPr>
                            <w:lang w:val="en-US"/>
                          </w:rPr>
                        </w:pPr>
                        <w:r>
                          <w:rPr>
                            <w:lang w:val="en-US"/>
                          </w:rPr>
                          <w:t>The Vendor</w:t>
                        </w:r>
                      </w:p>
                    </w:txbxContent>
                  </v:textbox>
                </v:shape>
                <v:shape id="Text Box 11" o:spid="_x0000_s1039" type="#_x0000_t202" style="position:absolute;left:34004;top:11436;width:12573;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53B5B" w:rsidRPr="000C5380" w:rsidRDefault="00853B5B" w:rsidP="00853B5B">
                        <w:pPr>
                          <w:jc w:val="center"/>
                          <w:rPr>
                            <w:lang w:val="en-US"/>
                          </w:rPr>
                        </w:pPr>
                        <w:r>
                          <w:rPr>
                            <w:lang w:val="en-US"/>
                          </w:rPr>
                          <w:t>Entity Y</w:t>
                        </w:r>
                      </w:p>
                    </w:txbxContent>
                  </v:textbox>
                </v:shape>
                <v:shape id="Text Box 12" o:spid="_x0000_s1040" type="#_x0000_t202" style="position:absolute;left:33147;top:16865;width:14287;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53B5B" w:rsidRPr="000C5380" w:rsidRDefault="00853B5B" w:rsidP="00853B5B">
                        <w:pPr>
                          <w:jc w:val="center"/>
                          <w:rPr>
                            <w:lang w:val="en-US"/>
                          </w:rPr>
                        </w:pPr>
                        <w:r>
                          <w:rPr>
                            <w:lang w:val="en-US"/>
                          </w:rPr>
                          <w:t>Holding Company</w:t>
                        </w:r>
                      </w:p>
                    </w:txbxContent>
                  </v:textbox>
                </v:shape>
                <v:shape id="Text Box 13" o:spid="_x0000_s1041" type="#_x0000_t202" style="position:absolute;left:1143;top:1143;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53B5B" w:rsidRPr="000C5380" w:rsidRDefault="00853B5B" w:rsidP="00853B5B">
                        <w:pPr>
                          <w:rPr>
                            <w:b/>
                            <w:u w:val="single"/>
                            <w:lang w:val="en-US"/>
                          </w:rPr>
                        </w:pPr>
                        <w:r w:rsidRPr="000C5380">
                          <w:rPr>
                            <w:b/>
                            <w:u w:val="single"/>
                            <w:lang w:val="en-US"/>
                          </w:rPr>
                          <w:t>Before the Acquisition</w:t>
                        </w:r>
                      </w:p>
                    </w:txbxContent>
                  </v:textbox>
                </v:shape>
                <v:shape id="Text Box 14" o:spid="_x0000_s1042" type="#_x0000_t202" style="position:absolute;left:1047;top:26955;width:17145;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53B5B" w:rsidRPr="000C5380" w:rsidRDefault="00853B5B" w:rsidP="00853B5B">
                        <w:pPr>
                          <w:rPr>
                            <w:b/>
                            <w:u w:val="single"/>
                            <w:lang w:val="en-US"/>
                          </w:rPr>
                        </w:pPr>
                        <w:r>
                          <w:rPr>
                            <w:b/>
                            <w:u w:val="single"/>
                            <w:lang w:val="en-US"/>
                          </w:rPr>
                          <w:t xml:space="preserve">After </w:t>
                        </w:r>
                        <w:r w:rsidRPr="000C5380">
                          <w:rPr>
                            <w:b/>
                            <w:u w:val="single"/>
                            <w:lang w:val="en-US"/>
                          </w:rPr>
                          <w:t>the Acquisition</w:t>
                        </w:r>
                      </w:p>
                    </w:txbxContent>
                  </v:textbox>
                </v:shape>
                <v:shape id="Text Box 15" o:spid="_x0000_s1043" type="#_x0000_t202" style="position:absolute;left:5143;top:22574;width:1257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53B5B" w:rsidRPr="000C5380" w:rsidRDefault="00853B5B" w:rsidP="00853B5B">
                        <w:pPr>
                          <w:jc w:val="center"/>
                          <w:rPr>
                            <w:lang w:val="en-US"/>
                          </w:rPr>
                        </w:pPr>
                        <w:r>
                          <w:rPr>
                            <w:lang w:val="en-US"/>
                          </w:rPr>
                          <w:t>The Target</w:t>
                        </w:r>
                      </w:p>
                    </w:txbxContent>
                  </v:textbox>
                </v:shape>
                <v:shape id="Text Box 16" o:spid="_x0000_s1044" type="#_x0000_t202" style="position:absolute;left:34004;top:22294;width:12573;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53B5B" w:rsidRPr="000C5380" w:rsidRDefault="00853B5B" w:rsidP="00853B5B">
                        <w:pPr>
                          <w:jc w:val="center"/>
                          <w:rPr>
                            <w:lang w:val="en-US"/>
                          </w:rPr>
                        </w:pPr>
                        <w:r>
                          <w:rPr>
                            <w:lang w:val="en-US"/>
                          </w:rPr>
                          <w:t>Company A</w:t>
                        </w:r>
                      </w:p>
                    </w:txbxContent>
                  </v:textbox>
                </v:shape>
                <v:shape id="Text Box 17" o:spid="_x0000_s1045" type="#_x0000_t202" style="position:absolute;left:41529;top:43815;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nSXcIA&#10;AADbAAAADwAAAGRycy9kb3ducmV2LnhtbERPS2vCQBC+C/0PyxR6kbppK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dJdwgAAANsAAAAPAAAAAAAAAAAAAAAAAJgCAABkcnMvZG93&#10;bnJldi54bWxQSwUGAAAAAAQABAD1AAAAhwMAAAAA&#10;" stroked="f">
                  <v:textbox inset="0,0,0,0">
                    <w:txbxContent>
                      <w:p w:rsidR="00853B5B" w:rsidRPr="003E4DC8" w:rsidRDefault="00853B5B" w:rsidP="00853B5B">
                        <w:pPr>
                          <w:jc w:val="center"/>
                          <w:rPr>
                            <w:sz w:val="20"/>
                            <w:szCs w:val="20"/>
                            <w:lang w:val="en-US"/>
                          </w:rPr>
                        </w:pPr>
                        <w:r>
                          <w:rPr>
                            <w:sz w:val="20"/>
                            <w:szCs w:val="20"/>
                            <w:lang w:val="en-US"/>
                          </w:rPr>
                          <w:t>20</w:t>
                        </w:r>
                        <w:r w:rsidRPr="003E4DC8">
                          <w:rPr>
                            <w:sz w:val="20"/>
                            <w:szCs w:val="20"/>
                            <w:lang w:val="en-US"/>
                          </w:rPr>
                          <w:t>%</w:t>
                        </w:r>
                      </w:p>
                    </w:txbxContent>
                  </v:textbox>
                </v:shape>
                <v:shape id="Text Box 18" o:spid="_x0000_s1046" type="#_x0000_t202" style="position:absolute;left:41624;top:3867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853B5B" w:rsidRPr="003E4DC8" w:rsidRDefault="00853B5B" w:rsidP="00853B5B">
                        <w:pPr>
                          <w:jc w:val="center"/>
                          <w:rPr>
                            <w:sz w:val="20"/>
                            <w:szCs w:val="20"/>
                            <w:lang w:val="en-US"/>
                          </w:rPr>
                        </w:pPr>
                        <w:r w:rsidRPr="003E4DC8">
                          <w:rPr>
                            <w:sz w:val="20"/>
                            <w:szCs w:val="20"/>
                            <w:lang w:val="en-US"/>
                          </w:rPr>
                          <w:t>100%</w:t>
                        </w:r>
                      </w:p>
                    </w:txbxContent>
                  </v:textbox>
                </v:shape>
                <v:shape id="Text Box 19" o:spid="_x0000_s1047" type="#_x0000_t202" style="position:absolute;left:8286;top:38766;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pscAA&#10;AADbAAAADwAAAGRycy9kb3ducmV2LnhtbERPS4vCMBC+C/6HMIIX0VQPRapRdn2Ah/XgA89DM9uW&#10;bSYlibb+e7MgeJuP7znLdWdq8SDnK8sKppMEBHFudcWFgutlP56D8AFZY22ZFDzJw3rV7y0x07bl&#10;Ez3OoRAxhH2GCsoQmkxKn5dk0E9sQxy5X+sMhghdIbXDNoabWs6SJJUGK44NJTa0KSn/O9+NgnTr&#10;7u2JN6PtdfeDx6aY3b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fpscAAAADbAAAADwAAAAAAAAAAAAAAAACYAgAAZHJzL2Rvd25y&#10;ZXYueG1sUEsFBgAAAAAEAAQA9QAAAIUDAAAAAA==&#10;" stroked="f">
                  <v:textbox inset="0,0,0,0">
                    <w:txbxContent>
                      <w:p w:rsidR="00853B5B" w:rsidRPr="003E4DC8" w:rsidRDefault="00853B5B" w:rsidP="00853B5B">
                        <w:pPr>
                          <w:jc w:val="center"/>
                          <w:rPr>
                            <w:sz w:val="20"/>
                            <w:szCs w:val="20"/>
                            <w:lang w:val="en-US"/>
                          </w:rPr>
                        </w:pPr>
                        <w:r>
                          <w:rPr>
                            <w:sz w:val="20"/>
                            <w:szCs w:val="20"/>
                            <w:lang w:val="en-US"/>
                          </w:rPr>
                          <w:t>100</w:t>
                        </w:r>
                        <w:r w:rsidRPr="003E4DC8">
                          <w:rPr>
                            <w:sz w:val="20"/>
                            <w:szCs w:val="20"/>
                            <w:lang w:val="en-US"/>
                          </w:rPr>
                          <w:t>%</w:t>
                        </w:r>
                      </w:p>
                    </w:txbxContent>
                  </v:textbox>
                </v:shape>
                <v:shape id="Text Box 20" o:spid="_x0000_s1048" type="#_x0000_t202" style="position:absolute;left:8382;top:43815;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MKsMA&#10;AADbAAAADwAAAGRycy9kb3ducmV2LnhtbERPS2vCQBC+C/0PyxR6kbppDlFSV2m1hR7qISqeh+yY&#10;BLOzYXfN4993C4Xe5uN7zno7mlb05HxjWcHLIgFBXFrdcKXgfPp8XoHwAVlja5kUTORhu3mYrTHX&#10;duCC+mOoRAxhn6OCOoQul9KXNRn0C9sRR+5qncEQoaukdjjEcNPKNEkyabDh2FBjR7uaytvxbhRk&#10;e3cfCt7N9+ePbzx0VXp5ny5KPT2Ob68gAo3hX/zn/tJx/hJ+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tMKsMAAADbAAAADwAAAAAAAAAAAAAAAACYAgAAZHJzL2Rv&#10;d25yZXYueG1sUEsFBgAAAAAEAAQA9QAAAIgDAAAAAA==&#10;" stroked="f">
                  <v:textbox inset="0,0,0,0">
                    <w:txbxContent>
                      <w:p w:rsidR="00853B5B" w:rsidRPr="003E4DC8" w:rsidRDefault="00853B5B" w:rsidP="00853B5B">
                        <w:pPr>
                          <w:jc w:val="center"/>
                          <w:rPr>
                            <w:sz w:val="20"/>
                            <w:szCs w:val="20"/>
                            <w:lang w:val="en-US"/>
                          </w:rPr>
                        </w:pPr>
                        <w:r>
                          <w:rPr>
                            <w:sz w:val="20"/>
                            <w:szCs w:val="20"/>
                            <w:lang w:val="en-US"/>
                          </w:rPr>
                          <w:t>&gt;50</w:t>
                        </w:r>
                        <w:r w:rsidRPr="003E4DC8">
                          <w:rPr>
                            <w:sz w:val="20"/>
                            <w:szCs w:val="20"/>
                            <w:lang w:val="en-US"/>
                          </w:rPr>
                          <w:t>%</w:t>
                        </w:r>
                      </w:p>
                    </w:txbxContent>
                  </v:textbox>
                </v:shape>
                <v:shape id="Text Box 21" o:spid="_x0000_s1049" type="#_x0000_t202" style="position:absolute;left:27241;top:52197;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853B5B" w:rsidRPr="003E4DC8" w:rsidRDefault="00853B5B" w:rsidP="00853B5B">
                        <w:pPr>
                          <w:rPr>
                            <w:sz w:val="20"/>
                            <w:szCs w:val="20"/>
                            <w:lang w:val="en-US"/>
                          </w:rPr>
                        </w:pPr>
                        <w:r>
                          <w:rPr>
                            <w:sz w:val="20"/>
                            <w:szCs w:val="20"/>
                            <w:lang w:val="en-US"/>
                          </w:rPr>
                          <w:t>&gt;50%</w:t>
                        </w:r>
                      </w:p>
                    </w:txbxContent>
                  </v:textbox>
                </v:shape>
                <v:shape id="AutoShape 22" o:spid="_x0000_s1050" type="#_x0000_t32" style="position:absolute;left:17716;top:8001;width:9093;height:51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BKAsMAAADbAAAADwAAAGRycy9kb3ducmV2LnhtbERP22oCMRB9F/oPYYS+uVlbKLo1igpS&#10;S0FQS+njsJm96GayJqm7/XsjFPo2h3Od2aI3jbiS87VlBeMkBUGcW11zqeDzuBlNQPiArLGxTAp+&#10;ycNi/jCYYaZtx3u6HkIpYgj7DBVUIbSZlD6vyKBPbEscucI6gyFCV0rtsIvhppFPafoiDdYcGyps&#10;aV1Rfj78GAVvfn/5csWqe98t84/T+nnbrYpvpR6H/fIVRKA+/Iv/3Fsd50/h/ks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wSgLDAAAA2wAAAA8AAAAAAAAAAAAA&#10;AAAAoQIAAGRycy9kb3ducmV2LnhtbFBLBQYAAAAABAAEAPkAAACRAwAAAAA=&#10;">
                  <v:stroke dashstyle="dash"/>
                </v:shape>
                <v:shape id="AutoShape 23" o:spid="_x0000_s1051" type="#_x0000_t32" style="position:absolute;left:26238;top:8001;width:7766;height:51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Ne1sIAAADbAAAADwAAAGRycy9kb3ducmV2LnhtbERPXWvCMBR9H/gfwhX2MjTVMZFqFBGE&#10;jTE2neDrpbk2pc1NaGLt/PXmYeDj4Xwv171tREdtqBwrmIwzEMSF0xWXCo6/u9EcRIjIGhvHpOCP&#10;AqxXg6cl5tpdeU/dIZYihXDIUYGJ0edShsKQxTB2njhxZ9dajAm2pdQtXlO4beQ0y2bSYsWpwaCn&#10;raGiPlysgrqrv/c/b8G/XG40+/Tm6+P1pJV6HvabBYhIfXyI/93vWsE0rU9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Ne1sIAAADbAAAADwAAAAAAAAAAAAAA&#10;AAChAgAAZHJzL2Rvd25yZXYueG1sUEsFBgAAAAAEAAQA+QAAAJADAAAAAA==&#10;">
                  <v:stroke dashstyle="dash"/>
                </v:shape>
                <v:shape id="AutoShape 24" o:spid="_x0000_s1052" type="#_x0000_t32" style="position:absolute;left:11430;top:14859;width:6;height:21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5" o:spid="_x0000_s1053" type="#_x0000_t32" style="position:absolute;left:11430;top:20427;width:6;height:21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6" o:spid="_x0000_s1054" type="#_x0000_t32" style="position:absolute;left:40290;top:14859;width:7;height:2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7" o:spid="_x0000_s1055" type="#_x0000_t32" style="position:absolute;left:40290;top:20288;width:7;height:20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Text Box 28" o:spid="_x0000_s1056" type="#_x0000_t202" style="position:absolute;left:15386;top:30003;width:217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853B5B" w:rsidRPr="000C5380" w:rsidRDefault="00853B5B" w:rsidP="00853B5B">
                        <w:pPr>
                          <w:jc w:val="center"/>
                          <w:rPr>
                            <w:lang w:val="en-US"/>
                          </w:rPr>
                        </w:pPr>
                        <w:r>
                          <w:rPr>
                            <w:lang w:val="en-US"/>
                          </w:rPr>
                          <w:t>The Municipal Government</w:t>
                        </w:r>
                      </w:p>
                    </w:txbxContent>
                  </v:textbox>
                </v:shape>
                <v:shape id="Text Box 29" o:spid="_x0000_s1057" type="#_x0000_t202" style="position:absolute;left:5715;top:35052;width:1257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53B5B" w:rsidRPr="000C5380" w:rsidRDefault="00853B5B" w:rsidP="00853B5B">
                        <w:pPr>
                          <w:jc w:val="center"/>
                          <w:rPr>
                            <w:lang w:val="en-US"/>
                          </w:rPr>
                        </w:pPr>
                        <w:r>
                          <w:rPr>
                            <w:lang w:val="en-US"/>
                          </w:rPr>
                          <w:t>Entity X</w:t>
                        </w:r>
                      </w:p>
                    </w:txbxContent>
                  </v:textbox>
                </v:shape>
                <v:shape id="Text Box 30" o:spid="_x0000_s1058" type="#_x0000_t202" style="position:absolute;left:34671;top:35052;width:12573;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53B5B" w:rsidRPr="000C5380" w:rsidRDefault="00853B5B" w:rsidP="00853B5B">
                        <w:pPr>
                          <w:jc w:val="center"/>
                          <w:rPr>
                            <w:lang w:val="en-US"/>
                          </w:rPr>
                        </w:pPr>
                        <w:r>
                          <w:rPr>
                            <w:lang w:val="en-US"/>
                          </w:rPr>
                          <w:t>Entity Y</w:t>
                        </w:r>
                      </w:p>
                    </w:txbxContent>
                  </v:textbox>
                </v:shape>
                <v:shape id="AutoShape 31" o:spid="_x0000_s1059" type="#_x0000_t32" style="position:absolute;left:18288;top:33432;width:7956;height:333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AlJMIAAADbAAAADwAAAGRycy9kb3ducmV2LnhtbERPy2oCMRTdC/2HcAvdORktiEyNokKp&#10;IhR8UFxeJnceOrmZJqkz/n2zEFweznu26E0jbuR8bVnBKElBEOdW11wqOB0/h1MQPiBrbCyTgjt5&#10;WMxfBjPMtO14T7dDKEUMYZ+hgiqENpPS5xUZ9IltiSNXWGcwROhKqR12Mdw0cpymE2mw5thQYUvr&#10;ivLr4c8o+PL73x9XrLrt9zLfXdbvm25VnJV6e+2XHyAC9eEpfrg3WsE4jo1f4g+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AlJMIAAADbAAAADwAAAAAAAAAAAAAA&#10;AAChAgAAZHJzL2Rvd25yZXYueG1sUEsFBgAAAAAEAAQA+QAAAJADAAAAAA==&#10;">
                  <v:stroke dashstyle="dash"/>
                </v:shape>
                <v:shape id="AutoShape 32" o:spid="_x0000_s1060" type="#_x0000_t32" style="position:absolute;left:26244;top:33432;width:8427;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n3S8YAAADbAAAADwAAAGRycy9kb3ducmV2LnhtbESP3WoCMRSE7wt9h3AKvSk1q6XSbo0i&#10;gtAi4k8LvT1sTjfLbk7CJq6rT2+EgpfDzHzDTGa9bURHbagcKxgOMhDEhdMVlwp+vpfPbyBCRNbY&#10;OCYFJwowm97fTTDX7sg76vaxFAnCIUcFJkafSxkKQxbDwHni5P251mJMsi2lbvGY4LaRoywbS4sV&#10;pwWDnhaGinp/sArqrt7stq/BPx3ONF55s/56+dVKPT708w8Qkfp4C/+3P7WC0Ttcv6QfIK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J90vGAAAA2wAAAA8AAAAAAAAA&#10;AAAAAAAAoQIAAGRycy9kb3ducmV2LnhtbFBLBQYAAAAABAAEAPkAAACUAwAAAAA=&#10;">
                  <v:stroke dashstyle="dash"/>
                </v:shape>
                <v:line id="Line 33" o:spid="_x0000_s1061" style="position:absolute;visibility:visible;mso-wrap-style:square" from="12001,38481" to="12007,4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4" o:spid="_x0000_s1062" style="position:absolute;visibility:visible;mso-wrap-style:square" from="41052,38481" to="41059,4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w10:anchorlock/>
              </v:group>
            </w:pict>
          </mc:Fallback>
        </mc:AlternateContent>
      </w:r>
    </w:p>
    <w:p w:rsidR="00853B5B" w:rsidRDefault="00853B5B" w:rsidP="00853B5B">
      <w:pPr>
        <w:spacing w:line="240" w:lineRule="atLeast"/>
        <w:jc w:val="both"/>
      </w:pPr>
    </w:p>
    <w:p w:rsidR="00853B5B" w:rsidRDefault="00853B5B" w:rsidP="00853B5B">
      <w:pPr>
        <w:spacing w:line="240" w:lineRule="atLeast"/>
        <w:jc w:val="both"/>
      </w:pPr>
    </w:p>
    <w:p w:rsidR="00853B5B" w:rsidRDefault="00853B5B" w:rsidP="00853B5B">
      <w:pPr>
        <w:spacing w:line="240" w:lineRule="atLeast"/>
        <w:jc w:val="both"/>
      </w:pPr>
    </w:p>
    <w:p w:rsidR="00853B5B" w:rsidRDefault="00853B5B" w:rsidP="00853B5B">
      <w:pPr>
        <w:numPr>
          <w:ilvl w:val="0"/>
          <w:numId w:val="1"/>
        </w:numPr>
        <w:tabs>
          <w:tab w:val="clear" w:pos="360"/>
          <w:tab w:val="num" w:pos="720"/>
        </w:tabs>
        <w:spacing w:line="240" w:lineRule="atLeast"/>
        <w:ind w:left="720" w:hanging="720"/>
        <w:jc w:val="both"/>
        <w:rPr>
          <w:color w:val="000000"/>
        </w:rPr>
      </w:pPr>
      <w:r w:rsidRPr="00C8729C">
        <w:t xml:space="preserve">The Acquisition was a connected transaction for Company A as the Exchange had deemed the Vendor and its associates </w:t>
      </w:r>
      <w:r>
        <w:t>to be</w:t>
      </w:r>
      <w:r w:rsidRPr="00C8729C">
        <w:t xml:space="preserve"> Company A’s connected persons since the listing of Company A.</w:t>
      </w:r>
      <w:r>
        <w:t xml:space="preserve">  </w:t>
      </w:r>
      <w:r w:rsidRPr="0098201C">
        <w:t xml:space="preserve">Based on the percentage ratio calculation, the Acquisition </w:t>
      </w:r>
      <w:r>
        <w:t xml:space="preserve">was also </w:t>
      </w:r>
      <w:r w:rsidRPr="0098201C">
        <w:t>a very substantial acquisition</w:t>
      </w:r>
      <w:r>
        <w:t xml:space="preserve">.    </w:t>
      </w:r>
    </w:p>
    <w:p w:rsidR="00853B5B" w:rsidRPr="00E76AFA" w:rsidRDefault="00853B5B" w:rsidP="00853B5B">
      <w:pPr>
        <w:spacing w:line="240" w:lineRule="atLeast"/>
        <w:jc w:val="both"/>
        <w:rPr>
          <w:color w:val="000000"/>
        </w:rPr>
      </w:pPr>
    </w:p>
    <w:p w:rsidR="00853B5B" w:rsidRDefault="00853B5B" w:rsidP="00853B5B">
      <w:pPr>
        <w:numPr>
          <w:ilvl w:val="0"/>
          <w:numId w:val="1"/>
        </w:numPr>
        <w:tabs>
          <w:tab w:val="clear" w:pos="360"/>
          <w:tab w:val="num" w:pos="720"/>
        </w:tabs>
        <w:spacing w:line="240" w:lineRule="atLeast"/>
        <w:ind w:left="720" w:hanging="720"/>
        <w:jc w:val="both"/>
      </w:pPr>
      <w:r>
        <w:lastRenderedPageBreak/>
        <w:t xml:space="preserve">Company A sought the Exchange’s confirmation that the Acquisition was not a reverse takeover under Rule 14.06(6).  It submitted that although the Acquisition would result in the Vendor acquiring a controlling interest in Company A, there would not be a change in control under Rule 14.06(6) because:  </w:t>
      </w:r>
    </w:p>
    <w:p w:rsidR="00853B5B" w:rsidRDefault="00853B5B" w:rsidP="00853B5B">
      <w:pPr>
        <w:spacing w:line="240" w:lineRule="atLeast"/>
        <w:jc w:val="both"/>
      </w:pPr>
    </w:p>
    <w:p w:rsidR="00853B5B" w:rsidRDefault="00853B5B" w:rsidP="00853B5B">
      <w:pPr>
        <w:spacing w:line="240" w:lineRule="atLeast"/>
        <w:ind w:left="1080" w:hanging="360"/>
        <w:jc w:val="both"/>
      </w:pPr>
      <w:r>
        <w:t>-</w:t>
      </w:r>
      <w:r>
        <w:tab/>
        <w:t xml:space="preserve">Both Entity X and Entity Y were subordinate departments of the Municipal Government and under its supervision.  Through these entities, the Municipal Government had exercised control over each of the Holding Company, Company A, the Vendor and the Target, including through the exercise of voting rights. </w:t>
      </w:r>
    </w:p>
    <w:p w:rsidR="00853B5B" w:rsidRDefault="00853B5B" w:rsidP="00853B5B">
      <w:pPr>
        <w:spacing w:line="240" w:lineRule="atLeast"/>
        <w:ind w:left="1080" w:hanging="360"/>
        <w:jc w:val="both"/>
      </w:pPr>
    </w:p>
    <w:p w:rsidR="00853B5B" w:rsidRDefault="00853B5B" w:rsidP="00853B5B">
      <w:pPr>
        <w:spacing w:line="240" w:lineRule="atLeast"/>
        <w:ind w:left="1080" w:hanging="360"/>
        <w:jc w:val="both"/>
      </w:pPr>
      <w:r>
        <w:t>-</w:t>
      </w:r>
      <w:r>
        <w:tab/>
        <w:t xml:space="preserve">The Municipal Government had, and would continue to have, ultimate control over Company A before and after the Acquisition.        </w:t>
      </w:r>
    </w:p>
    <w:p w:rsidR="00853B5B" w:rsidRDefault="00853B5B" w:rsidP="00853B5B">
      <w:pPr>
        <w:spacing w:line="240" w:lineRule="atLeast"/>
        <w:jc w:val="both"/>
      </w:pPr>
    </w:p>
    <w:p w:rsidR="00853B5B" w:rsidRDefault="00853B5B" w:rsidP="00853B5B">
      <w:pPr>
        <w:jc w:val="both"/>
      </w:pPr>
    </w:p>
    <w:p w:rsidR="00853B5B" w:rsidRPr="005F0B86" w:rsidRDefault="00853B5B" w:rsidP="00853B5B">
      <w:pPr>
        <w:widowControl w:val="0"/>
        <w:jc w:val="both"/>
        <w:rPr>
          <w:b/>
        </w:rPr>
      </w:pPr>
      <w:r w:rsidRPr="005F0B86">
        <w:rPr>
          <w:b/>
        </w:rPr>
        <w:t xml:space="preserve">ISSUE </w:t>
      </w:r>
    </w:p>
    <w:p w:rsidR="00853B5B" w:rsidRPr="00D00331" w:rsidRDefault="00853B5B" w:rsidP="00853B5B">
      <w:pPr>
        <w:widowControl w:val="0"/>
        <w:snapToGrid w:val="0"/>
        <w:jc w:val="both"/>
        <w:rPr>
          <w:color w:val="000000"/>
        </w:rPr>
      </w:pPr>
    </w:p>
    <w:p w:rsidR="00853B5B" w:rsidRPr="00D00331" w:rsidRDefault="00853B5B" w:rsidP="00853B5B">
      <w:pPr>
        <w:numPr>
          <w:ilvl w:val="0"/>
          <w:numId w:val="1"/>
        </w:numPr>
        <w:tabs>
          <w:tab w:val="clear" w:pos="360"/>
          <w:tab w:val="num" w:pos="720"/>
        </w:tabs>
        <w:spacing w:line="240" w:lineRule="atLeast"/>
        <w:ind w:left="720" w:hanging="720"/>
        <w:jc w:val="both"/>
        <w:rPr>
          <w:color w:val="000000"/>
        </w:rPr>
      </w:pPr>
      <w:r w:rsidRPr="00D00331">
        <w:rPr>
          <w:color w:val="000000"/>
        </w:rPr>
        <w:t xml:space="preserve">Whether the </w:t>
      </w:r>
      <w:r>
        <w:rPr>
          <w:color w:val="000000"/>
        </w:rPr>
        <w:t xml:space="preserve">Acquisition </w:t>
      </w:r>
      <w:r>
        <w:rPr>
          <w:color w:val="000000"/>
          <w:szCs w:val="23"/>
        </w:rPr>
        <w:t xml:space="preserve">constituted a reverse takeover of Company A. </w:t>
      </w:r>
    </w:p>
    <w:p w:rsidR="00853B5B" w:rsidRDefault="00853B5B" w:rsidP="00853B5B">
      <w:pPr>
        <w:pStyle w:val="Heading3"/>
        <w:keepNext w:val="0"/>
        <w:spacing w:line="240" w:lineRule="auto"/>
        <w:rPr>
          <w:rFonts w:ascii="Times New Roman" w:hAnsi="Times New Roman" w:cs="Times New Roman"/>
        </w:rPr>
      </w:pPr>
    </w:p>
    <w:p w:rsidR="00853B5B" w:rsidRPr="004E7F12" w:rsidRDefault="00853B5B" w:rsidP="00853B5B"/>
    <w:p w:rsidR="00853B5B" w:rsidRPr="005F0B86" w:rsidRDefault="00853B5B" w:rsidP="00853B5B">
      <w:pPr>
        <w:pStyle w:val="Heading3"/>
        <w:keepNext w:val="0"/>
        <w:spacing w:line="240" w:lineRule="auto"/>
        <w:rPr>
          <w:rFonts w:ascii="Times New Roman" w:eastAsia="????" w:hAnsi="Times New Roman" w:cs="Times New Roman"/>
        </w:rPr>
      </w:pPr>
      <w:r w:rsidRPr="005F0B86">
        <w:rPr>
          <w:rFonts w:ascii="Times New Roman" w:hAnsi="Times New Roman" w:cs="Times New Roman"/>
        </w:rPr>
        <w:t>APPLICABLE LISTING RULES OR PRINCIPLE</w:t>
      </w:r>
      <w:r>
        <w:rPr>
          <w:rFonts w:ascii="Times New Roman" w:hAnsi="Times New Roman" w:cs="Times New Roman"/>
        </w:rPr>
        <w:t>S</w:t>
      </w:r>
      <w:r w:rsidRPr="005F0B86">
        <w:rPr>
          <w:rFonts w:ascii="Times New Roman" w:eastAsia="????" w:hAnsi="Times New Roman" w:cs="Times New Roman"/>
        </w:rPr>
        <w:t xml:space="preserve"> </w:t>
      </w:r>
    </w:p>
    <w:p w:rsidR="00853B5B" w:rsidRDefault="00853B5B" w:rsidP="00853B5B">
      <w:pPr>
        <w:pStyle w:val="Heading3"/>
        <w:keepNext w:val="0"/>
        <w:spacing w:line="240" w:lineRule="auto"/>
        <w:rPr>
          <w:rFonts w:ascii="Times New Roman" w:eastAsia="????" w:hAnsi="Times New Roman" w:cs="Times New Roman"/>
        </w:rPr>
      </w:pPr>
    </w:p>
    <w:p w:rsidR="00853B5B" w:rsidRPr="00900D2C" w:rsidRDefault="00853B5B" w:rsidP="00853B5B">
      <w:pPr>
        <w:numPr>
          <w:ilvl w:val="0"/>
          <w:numId w:val="1"/>
        </w:numPr>
        <w:tabs>
          <w:tab w:val="clear" w:pos="360"/>
          <w:tab w:val="num" w:pos="720"/>
        </w:tabs>
        <w:spacing w:line="240" w:lineRule="atLeast"/>
        <w:ind w:left="720" w:hanging="720"/>
        <w:jc w:val="both"/>
        <w:rPr>
          <w:color w:val="000000"/>
        </w:rPr>
      </w:pPr>
      <w:r w:rsidRPr="00853E17">
        <w:t xml:space="preserve">Rule </w:t>
      </w:r>
      <w:r w:rsidRPr="00966C18">
        <w:rPr>
          <w:color w:val="000000"/>
        </w:rPr>
        <w:t>14</w:t>
      </w:r>
      <w:r w:rsidRPr="00853E17">
        <w:t>.06(6)</w:t>
      </w:r>
      <w:r>
        <w:t xml:space="preserve"> defines “reverse takeover” as:</w:t>
      </w:r>
    </w:p>
    <w:p w:rsidR="00853B5B" w:rsidRPr="00900D2C" w:rsidRDefault="00853B5B" w:rsidP="00853B5B">
      <w:pPr>
        <w:spacing w:line="240" w:lineRule="atLeast"/>
        <w:jc w:val="both"/>
        <w:rPr>
          <w:color w:val="000000"/>
        </w:rPr>
      </w:pPr>
    </w:p>
    <w:p w:rsidR="00853B5B" w:rsidRPr="00900D2C" w:rsidRDefault="00853B5B" w:rsidP="00853B5B">
      <w:pPr>
        <w:spacing w:line="240" w:lineRule="atLeast"/>
        <w:ind w:left="2040"/>
        <w:jc w:val="both"/>
        <w:rPr>
          <w:color w:val="000000"/>
        </w:rPr>
      </w:pPr>
      <w:r w:rsidRPr="00900D2C">
        <w:t>an acquisition or a series of acquisitions of assets by a</w:t>
      </w:r>
      <w:r>
        <w:t>n</w:t>
      </w:r>
      <w:r w:rsidRPr="00900D2C">
        <w:t xml:space="preserve"> issuer which, </w:t>
      </w:r>
      <w:r w:rsidRPr="00900D2C">
        <w:rPr>
          <w:rFonts w:eastAsia="Times New Roman"/>
        </w:rPr>
        <w:t>in the opinion of the Exchange, constitutes, or is part of a transaction or arrangement or series of transactions or arrangements which constitute, an a</w:t>
      </w:r>
      <w:smartTag w:uri="urn:schemas-microsoft-com:office:smarttags" w:element="PersonName">
        <w:r w:rsidRPr="00900D2C">
          <w:rPr>
            <w:rFonts w:eastAsia="Times New Roman"/>
          </w:rPr>
          <w:t>tt</w:t>
        </w:r>
      </w:smartTag>
      <w:r w:rsidRPr="00900D2C">
        <w:rPr>
          <w:rFonts w:eastAsia="Times New Roman"/>
        </w:rPr>
        <w:t>empt to achieve a listing of the assets to be acquired and a means to circumvent the requirements for new applicants set out in Chapter 8 of the Exchange Listing Rule.  A “reverse takeover” normally refers to:</w:t>
      </w:r>
    </w:p>
    <w:p w:rsidR="00853B5B" w:rsidRPr="00900D2C" w:rsidRDefault="00853B5B" w:rsidP="00853B5B">
      <w:pPr>
        <w:rPr>
          <w:lang w:val="en-US"/>
        </w:rPr>
      </w:pPr>
    </w:p>
    <w:p w:rsidR="00853B5B" w:rsidRPr="00900D2C" w:rsidRDefault="00853B5B" w:rsidP="00853B5B">
      <w:pPr>
        <w:ind w:left="2880" w:hanging="840"/>
        <w:jc w:val="both"/>
      </w:pPr>
      <w:r w:rsidRPr="00900D2C">
        <w:rPr>
          <w:rFonts w:eastAsia="Times New Roman"/>
          <w:lang w:val="en-US" w:eastAsia="en-US"/>
        </w:rPr>
        <w:t>(a)</w:t>
      </w:r>
      <w:r w:rsidRPr="00900D2C">
        <w:rPr>
          <w:rFonts w:eastAsia="Times New Roman"/>
          <w:lang w:val="en-US" w:eastAsia="en-US"/>
        </w:rPr>
        <w:tab/>
      </w:r>
      <w:r w:rsidRPr="00900D2C">
        <w:rPr>
          <w:rFonts w:eastAsia="Times New Roman"/>
          <w:lang w:eastAsia="en-US"/>
        </w:rPr>
        <w:t>an acquisition or a series of acquisitions (aggregated under rules 14.22 and 14.23) of assets constituting a very substantial acquisition where there is or which will result in a change in control (as defined in the Takeovers Code) of the listed issuer (other than at the level of its subsidiaries); or</w:t>
      </w:r>
    </w:p>
    <w:p w:rsidR="00853B5B" w:rsidRPr="00900D2C" w:rsidRDefault="00853B5B" w:rsidP="00853B5B">
      <w:pPr>
        <w:ind w:left="2880" w:hanging="960"/>
        <w:jc w:val="both"/>
        <w:rPr>
          <w:rFonts w:eastAsia="Times New Roman"/>
          <w:lang w:eastAsia="en-US"/>
        </w:rPr>
      </w:pPr>
    </w:p>
    <w:p w:rsidR="00853B5B" w:rsidRPr="00900D2C" w:rsidRDefault="00853B5B" w:rsidP="00853B5B">
      <w:pPr>
        <w:ind w:left="2880" w:hanging="840"/>
        <w:jc w:val="both"/>
      </w:pPr>
      <w:r w:rsidRPr="00900D2C">
        <w:rPr>
          <w:rFonts w:eastAsia="Times New Roman"/>
          <w:lang w:eastAsia="en-US"/>
        </w:rPr>
        <w:t>(b)</w:t>
      </w:r>
      <w:r w:rsidRPr="00900D2C">
        <w:rPr>
          <w:rFonts w:eastAsia="Times New Roman"/>
          <w:lang w:eastAsia="en-US"/>
        </w:rPr>
        <w:tab/>
      </w:r>
      <w:r w:rsidRPr="00900D2C">
        <w:t xml:space="preserve">acquisition(s) of assets from a person or a group of persons or any of his/their associates pursuant to an agreement, arrangement or understanding entered into by the listed issuer within 24 months of such person or group of persons gaining control (as defined in the Takeovers Code) of the listed issuer (other than at the level of its subsidiaries), where such gaining of control had not been regarded as a </w:t>
      </w:r>
      <w:r w:rsidRPr="00900D2C">
        <w:lastRenderedPageBreak/>
        <w:t xml:space="preserve">reverse takeover, which individually or together constitute(s) a very substantial acquisition. … </w:t>
      </w:r>
    </w:p>
    <w:p w:rsidR="00853B5B" w:rsidRDefault="00853B5B" w:rsidP="00853B5B">
      <w:pPr>
        <w:tabs>
          <w:tab w:val="left" w:pos="540"/>
        </w:tabs>
        <w:autoSpaceDE w:val="0"/>
        <w:autoSpaceDN w:val="0"/>
        <w:adjustRightInd w:val="0"/>
        <w:ind w:left="1080" w:hanging="360"/>
        <w:rPr>
          <w:rFonts w:eastAsia="Times New Roman"/>
        </w:rPr>
      </w:pPr>
    </w:p>
    <w:p w:rsidR="00853B5B" w:rsidRPr="00E24930" w:rsidRDefault="00853B5B" w:rsidP="00853B5B">
      <w:pPr>
        <w:spacing w:line="240" w:lineRule="atLeast"/>
        <w:jc w:val="both"/>
        <w:rPr>
          <w:rFonts w:eastAsia="Times New Roman"/>
        </w:rPr>
      </w:pPr>
    </w:p>
    <w:p w:rsidR="00853B5B" w:rsidRPr="00A86BDD" w:rsidRDefault="00853B5B" w:rsidP="00853B5B">
      <w:pPr>
        <w:widowControl w:val="0"/>
        <w:snapToGrid w:val="0"/>
        <w:jc w:val="both"/>
        <w:rPr>
          <w:b/>
        </w:rPr>
      </w:pPr>
      <w:r w:rsidRPr="00A86BDD">
        <w:rPr>
          <w:b/>
        </w:rPr>
        <w:t>ANALYSIS</w:t>
      </w:r>
    </w:p>
    <w:p w:rsidR="00853B5B" w:rsidRDefault="00853B5B" w:rsidP="00853B5B">
      <w:pPr>
        <w:tabs>
          <w:tab w:val="left" w:pos="540"/>
        </w:tabs>
        <w:jc w:val="both"/>
      </w:pPr>
    </w:p>
    <w:p w:rsidR="00853B5B" w:rsidRDefault="00853B5B" w:rsidP="00853B5B">
      <w:pPr>
        <w:numPr>
          <w:ilvl w:val="0"/>
          <w:numId w:val="1"/>
        </w:numPr>
        <w:tabs>
          <w:tab w:val="clear" w:pos="360"/>
          <w:tab w:val="num" w:pos="720"/>
        </w:tabs>
        <w:spacing w:line="240" w:lineRule="atLeast"/>
        <w:ind w:left="720" w:hanging="720"/>
        <w:jc w:val="both"/>
      </w:pPr>
      <w:r>
        <w:t xml:space="preserve">Rule 14.06(6)(a) describes a specific form of reverse takeover that involves injection of significant assets into an issuer and a change in its control (as defined in the Takeovers Code).   </w:t>
      </w:r>
    </w:p>
    <w:p w:rsidR="00853B5B" w:rsidRDefault="00853B5B" w:rsidP="00853B5B">
      <w:pPr>
        <w:spacing w:line="240" w:lineRule="atLeast"/>
        <w:jc w:val="both"/>
      </w:pPr>
    </w:p>
    <w:p w:rsidR="00853B5B" w:rsidRPr="00C8729C" w:rsidRDefault="00853B5B" w:rsidP="00853B5B">
      <w:pPr>
        <w:numPr>
          <w:ilvl w:val="0"/>
          <w:numId w:val="1"/>
        </w:numPr>
        <w:tabs>
          <w:tab w:val="clear" w:pos="360"/>
          <w:tab w:val="num" w:pos="720"/>
        </w:tabs>
        <w:spacing w:line="240" w:lineRule="atLeast"/>
        <w:ind w:left="720" w:hanging="720"/>
        <w:jc w:val="both"/>
      </w:pPr>
      <w:r w:rsidRPr="00C8729C">
        <w:t xml:space="preserve">Since the Municipal Government would remain Company A’s controlling shareholder following the Acquisition, there would not be a change in </w:t>
      </w:r>
      <w:r>
        <w:t>its</w:t>
      </w:r>
      <w:r w:rsidRPr="00C8729C">
        <w:t xml:space="preserve"> ultimate control as a result of the Acquisition.       </w:t>
      </w:r>
    </w:p>
    <w:p w:rsidR="00853B5B" w:rsidRPr="00C8729C" w:rsidRDefault="00853B5B" w:rsidP="00853B5B">
      <w:pPr>
        <w:spacing w:line="240" w:lineRule="atLeast"/>
        <w:jc w:val="both"/>
      </w:pPr>
    </w:p>
    <w:p w:rsidR="00853B5B" w:rsidRPr="00C8729C" w:rsidRDefault="00853B5B" w:rsidP="00853B5B">
      <w:pPr>
        <w:numPr>
          <w:ilvl w:val="0"/>
          <w:numId w:val="1"/>
        </w:numPr>
        <w:tabs>
          <w:tab w:val="clear" w:pos="360"/>
          <w:tab w:val="num" w:pos="720"/>
        </w:tabs>
        <w:spacing w:line="240" w:lineRule="atLeast"/>
        <w:ind w:left="720" w:hanging="720"/>
        <w:jc w:val="both"/>
      </w:pPr>
      <w:r w:rsidRPr="00C8729C">
        <w:t xml:space="preserve">The Exchange also took into account the assessment of “control” under the Takeovers Code.  In this case, the </w:t>
      </w:r>
      <w:r>
        <w:t xml:space="preserve">Takeovers </w:t>
      </w:r>
      <w:r w:rsidRPr="00C8729C">
        <w:t xml:space="preserve">Executive had granted a waiver to the Vendor from its obligation to make a general offer under Note 6(a) to Rule 26.1 of the Takeovers Code.  This was different from the situation where the control of an issuer changed and a whitewash waiver was granted subject to independent shareholders’ approval under the Takeovers Code.      </w:t>
      </w:r>
    </w:p>
    <w:p w:rsidR="00853B5B" w:rsidRDefault="00853B5B" w:rsidP="00853B5B">
      <w:pPr>
        <w:tabs>
          <w:tab w:val="left" w:pos="540"/>
        </w:tabs>
        <w:jc w:val="both"/>
        <w:rPr>
          <w:spacing w:val="-3"/>
          <w:lang w:val="en-GB"/>
        </w:rPr>
      </w:pPr>
      <w:r>
        <w:t xml:space="preserve">  </w:t>
      </w:r>
    </w:p>
    <w:p w:rsidR="00853B5B" w:rsidRDefault="00853B5B" w:rsidP="00853B5B">
      <w:pPr>
        <w:tabs>
          <w:tab w:val="left" w:pos="540"/>
          <w:tab w:val="left" w:pos="1080"/>
        </w:tabs>
        <w:ind w:left="540"/>
        <w:jc w:val="both"/>
        <w:rPr>
          <w:spacing w:val="-3"/>
          <w:lang w:val="en-GB"/>
        </w:rPr>
      </w:pPr>
      <w:r>
        <w:rPr>
          <w:spacing w:val="-3"/>
          <w:lang w:val="en-GB"/>
        </w:rPr>
        <w:t xml:space="preserve">   </w:t>
      </w:r>
    </w:p>
    <w:p w:rsidR="00853B5B" w:rsidRDefault="00853B5B" w:rsidP="00853B5B">
      <w:pPr>
        <w:widowControl w:val="0"/>
        <w:snapToGrid w:val="0"/>
        <w:jc w:val="both"/>
        <w:rPr>
          <w:lang w:eastAsia="zh-CN"/>
        </w:rPr>
      </w:pPr>
      <w:r w:rsidRPr="005F0B86">
        <w:rPr>
          <w:b/>
        </w:rPr>
        <w:t>DECISION</w:t>
      </w:r>
    </w:p>
    <w:p w:rsidR="00853B5B" w:rsidRDefault="00853B5B" w:rsidP="00853B5B">
      <w:pPr>
        <w:spacing w:line="240" w:lineRule="atLeast"/>
        <w:jc w:val="both"/>
      </w:pPr>
    </w:p>
    <w:p w:rsidR="00853B5B" w:rsidRDefault="00853B5B" w:rsidP="00853B5B">
      <w:pPr>
        <w:tabs>
          <w:tab w:val="left" w:pos="540"/>
        </w:tabs>
        <w:ind w:left="720" w:hanging="720"/>
        <w:jc w:val="both"/>
      </w:pPr>
      <w:r>
        <w:t>14.</w:t>
      </w:r>
      <w:r>
        <w:tab/>
      </w:r>
      <w:r>
        <w:tab/>
        <w:t>The Acquisition was not regarded as</w:t>
      </w:r>
      <w:r w:rsidRPr="00CD7FD7">
        <w:t xml:space="preserve"> a reverse takeover </w:t>
      </w:r>
      <w:r>
        <w:t>of</w:t>
      </w:r>
      <w:r w:rsidRPr="00CD7FD7">
        <w:t xml:space="preserve"> Company A.     </w:t>
      </w:r>
    </w:p>
    <w:p w:rsidR="00853B5B" w:rsidRDefault="00853B5B" w:rsidP="00853B5B">
      <w:pPr>
        <w:spacing w:line="240" w:lineRule="atLeast"/>
        <w:jc w:val="both"/>
        <w:rPr>
          <w:color w:val="000000"/>
          <w:szCs w:val="23"/>
        </w:rPr>
      </w:pPr>
      <w:r>
        <w:rPr>
          <w:color w:val="000000"/>
          <w:szCs w:val="23"/>
        </w:rPr>
        <w:t xml:space="preserve"> </w:t>
      </w:r>
    </w:p>
    <w:p w:rsidR="00853B5B" w:rsidRDefault="00853B5B" w:rsidP="00853B5B">
      <w:pPr>
        <w:spacing w:line="240" w:lineRule="atLeast"/>
        <w:jc w:val="both"/>
        <w:rPr>
          <w:color w:val="000000"/>
          <w:szCs w:val="23"/>
        </w:rPr>
      </w:pPr>
    </w:p>
    <w:p w:rsidR="00853B5B" w:rsidRDefault="00853B5B" w:rsidP="00853B5B">
      <w:pPr>
        <w:spacing w:line="240" w:lineRule="atLeast"/>
        <w:jc w:val="both"/>
        <w:rPr>
          <w:color w:val="000000"/>
          <w:szCs w:val="23"/>
        </w:rPr>
      </w:pPr>
    </w:p>
    <w:p w:rsidR="00853B5B" w:rsidRDefault="00853B5B" w:rsidP="00853B5B">
      <w:pPr>
        <w:spacing w:line="240" w:lineRule="atLeast"/>
        <w:jc w:val="both"/>
      </w:pPr>
    </w:p>
    <w:p w:rsidR="00853B5B" w:rsidRPr="009565B2" w:rsidRDefault="00853B5B" w:rsidP="00853B5B">
      <w:pPr>
        <w:spacing w:line="240" w:lineRule="atLeast"/>
        <w:jc w:val="both"/>
      </w:pPr>
    </w:p>
    <w:p w:rsidR="00853B5B" w:rsidRDefault="00853B5B" w:rsidP="00853B5B"/>
    <w:p w:rsidR="00B0162E" w:rsidRDefault="00B0162E">
      <w:bookmarkStart w:id="0" w:name="_GoBack"/>
      <w:bookmarkEnd w:id="0"/>
    </w:p>
    <w:sectPr w:rsidR="00B0162E">
      <w:footerReference w:type="even" r:id="rId6"/>
      <w:footerReference w:type="default" r:id="rId7"/>
      <w:pgSz w:w="12240" w:h="15840" w:code="1"/>
      <w:pgMar w:top="1440" w:right="1800" w:bottom="13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D8" w:rsidRDefault="00853B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7BD8" w:rsidRDefault="00853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D8" w:rsidRDefault="00853B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E7BD8" w:rsidRDefault="00853B5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01B5"/>
    <w:multiLevelType w:val="hybridMultilevel"/>
    <w:tmpl w:val="62549C72"/>
    <w:lvl w:ilvl="0" w:tplc="0409000F">
      <w:start w:val="1"/>
      <w:numFmt w:val="decimal"/>
      <w:lvlText w:val="%1."/>
      <w:lvlJc w:val="left"/>
      <w:pPr>
        <w:tabs>
          <w:tab w:val="num" w:pos="360"/>
        </w:tabs>
        <w:ind w:left="360" w:hanging="360"/>
      </w:pPr>
      <w:rPr>
        <w:rFonts w:hint="default"/>
      </w:rPr>
    </w:lvl>
    <w:lvl w:ilvl="1" w:tplc="38AC82B4">
      <w:start w:val="1"/>
      <w:numFmt w:val="lowerLetter"/>
      <w:lvlText w:val="%2."/>
      <w:lvlJc w:val="left"/>
      <w:pPr>
        <w:tabs>
          <w:tab w:val="num" w:pos="1080"/>
        </w:tabs>
        <w:ind w:left="1080" w:hanging="360"/>
      </w:pPr>
      <w:rPr>
        <w:rFonts w:hint="default"/>
      </w:rPr>
    </w:lvl>
    <w:lvl w:ilvl="2" w:tplc="7252389E">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44"/>
    <w:rsid w:val="0010724A"/>
    <w:rsid w:val="006A0EAD"/>
    <w:rsid w:val="00775A44"/>
    <w:rsid w:val="00853B5B"/>
    <w:rsid w:val="00A85E61"/>
    <w:rsid w:val="00B0162E"/>
    <w:rsid w:val="00DC71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5B"/>
    <w:pPr>
      <w:spacing w:after="0" w:line="240" w:lineRule="auto"/>
    </w:pPr>
    <w:rPr>
      <w:rFonts w:ascii="Times New Roman" w:eastAsia="新細明體" w:hAnsi="Times New Roman" w:cs="Times New Roman"/>
      <w:sz w:val="24"/>
      <w:szCs w:val="24"/>
      <w:lang w:val="en-HK"/>
    </w:rPr>
  </w:style>
  <w:style w:type="paragraph" w:styleId="Heading3">
    <w:name w:val="heading 3"/>
    <w:basedOn w:val="Normal"/>
    <w:next w:val="Normal"/>
    <w:link w:val="Heading3Char"/>
    <w:qFormat/>
    <w:rsid w:val="00853B5B"/>
    <w:pPr>
      <w:keepNext/>
      <w:widowControl w:val="0"/>
      <w:spacing w:line="300" w:lineRule="auto"/>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3B5B"/>
    <w:rPr>
      <w:rFonts w:ascii="Arial" w:eastAsia="新細明體" w:hAnsi="Arial" w:cs="Arial"/>
      <w:b/>
      <w:bCs/>
      <w:sz w:val="24"/>
      <w:szCs w:val="24"/>
      <w:lang w:val="en-HK"/>
    </w:rPr>
  </w:style>
  <w:style w:type="paragraph" w:styleId="Footer">
    <w:name w:val="footer"/>
    <w:basedOn w:val="Normal"/>
    <w:link w:val="FooterChar"/>
    <w:rsid w:val="00853B5B"/>
    <w:pPr>
      <w:tabs>
        <w:tab w:val="center" w:pos="4320"/>
        <w:tab w:val="right" w:pos="8640"/>
      </w:tabs>
    </w:pPr>
  </w:style>
  <w:style w:type="character" w:customStyle="1" w:styleId="FooterChar">
    <w:name w:val="Footer Char"/>
    <w:basedOn w:val="DefaultParagraphFont"/>
    <w:link w:val="Footer"/>
    <w:rsid w:val="00853B5B"/>
    <w:rPr>
      <w:rFonts w:ascii="Times New Roman" w:eastAsia="新細明體" w:hAnsi="Times New Roman" w:cs="Times New Roman"/>
      <w:sz w:val="24"/>
      <w:szCs w:val="24"/>
      <w:lang w:val="en-HK"/>
    </w:rPr>
  </w:style>
  <w:style w:type="character" w:styleId="PageNumber">
    <w:name w:val="page number"/>
    <w:basedOn w:val="DefaultParagraphFont"/>
    <w:rsid w:val="00853B5B"/>
  </w:style>
  <w:style w:type="table" w:styleId="TableGrid">
    <w:name w:val="Table Grid"/>
    <w:basedOn w:val="TableNormal"/>
    <w:rsid w:val="00853B5B"/>
    <w:pPr>
      <w:spacing w:after="0" w:line="240" w:lineRule="auto"/>
    </w:pPr>
    <w:rPr>
      <w:rFonts w:ascii="Times New Roman" w:eastAsia="新細明體"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 Char1 Char Char"/>
    <w:basedOn w:val="Normal"/>
    <w:rsid w:val="00853B5B"/>
    <w:pPr>
      <w:spacing w:after="160" w:line="240" w:lineRule="exact"/>
    </w:pPr>
    <w:rPr>
      <w:rFonts w:ascii="Verdana" w:eastAsia="Times New Roman" w:hAnsi="Verdana"/>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5B"/>
    <w:pPr>
      <w:spacing w:after="0" w:line="240" w:lineRule="auto"/>
    </w:pPr>
    <w:rPr>
      <w:rFonts w:ascii="Times New Roman" w:eastAsia="新細明體" w:hAnsi="Times New Roman" w:cs="Times New Roman"/>
      <w:sz w:val="24"/>
      <w:szCs w:val="24"/>
      <w:lang w:val="en-HK"/>
    </w:rPr>
  </w:style>
  <w:style w:type="paragraph" w:styleId="Heading3">
    <w:name w:val="heading 3"/>
    <w:basedOn w:val="Normal"/>
    <w:next w:val="Normal"/>
    <w:link w:val="Heading3Char"/>
    <w:qFormat/>
    <w:rsid w:val="00853B5B"/>
    <w:pPr>
      <w:keepNext/>
      <w:widowControl w:val="0"/>
      <w:spacing w:line="300" w:lineRule="auto"/>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53B5B"/>
    <w:rPr>
      <w:rFonts w:ascii="Arial" w:eastAsia="新細明體" w:hAnsi="Arial" w:cs="Arial"/>
      <w:b/>
      <w:bCs/>
      <w:sz w:val="24"/>
      <w:szCs w:val="24"/>
      <w:lang w:val="en-HK"/>
    </w:rPr>
  </w:style>
  <w:style w:type="paragraph" w:styleId="Footer">
    <w:name w:val="footer"/>
    <w:basedOn w:val="Normal"/>
    <w:link w:val="FooterChar"/>
    <w:rsid w:val="00853B5B"/>
    <w:pPr>
      <w:tabs>
        <w:tab w:val="center" w:pos="4320"/>
        <w:tab w:val="right" w:pos="8640"/>
      </w:tabs>
    </w:pPr>
  </w:style>
  <w:style w:type="character" w:customStyle="1" w:styleId="FooterChar">
    <w:name w:val="Footer Char"/>
    <w:basedOn w:val="DefaultParagraphFont"/>
    <w:link w:val="Footer"/>
    <w:rsid w:val="00853B5B"/>
    <w:rPr>
      <w:rFonts w:ascii="Times New Roman" w:eastAsia="新細明體" w:hAnsi="Times New Roman" w:cs="Times New Roman"/>
      <w:sz w:val="24"/>
      <w:szCs w:val="24"/>
      <w:lang w:val="en-HK"/>
    </w:rPr>
  </w:style>
  <w:style w:type="character" w:styleId="PageNumber">
    <w:name w:val="page number"/>
    <w:basedOn w:val="DefaultParagraphFont"/>
    <w:rsid w:val="00853B5B"/>
  </w:style>
  <w:style w:type="table" w:styleId="TableGrid">
    <w:name w:val="Table Grid"/>
    <w:basedOn w:val="TableNormal"/>
    <w:rsid w:val="00853B5B"/>
    <w:pPr>
      <w:spacing w:after="0" w:line="240" w:lineRule="auto"/>
    </w:pPr>
    <w:rPr>
      <w:rFonts w:ascii="Times New Roman" w:eastAsia="新細明體"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 Char1 Char Char"/>
    <w:basedOn w:val="Normal"/>
    <w:rsid w:val="00853B5B"/>
    <w:pPr>
      <w:spacing w:after="160" w:line="240" w:lineRule="exact"/>
    </w:pPr>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Charltons</dc:creator>
  <cp:keywords/>
  <dc:description/>
  <cp:lastModifiedBy>Charltons</cp:lastModifiedBy>
  <cp:revision>2</cp:revision>
  <dcterms:created xsi:type="dcterms:W3CDTF">2012-12-12T04:19:00Z</dcterms:created>
  <dcterms:modified xsi:type="dcterms:W3CDTF">2012-12-12T04:19:00Z</dcterms:modified>
</cp:coreProperties>
</file>